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60" w:lineRule="auto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sdt>
      <w:sdtPr>
        <w:alias w:val="Содержание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  <w:spacing w:after="0" w:before="0" w:line="360" w:lineRule="auto"/>
        <w:jc w:val="center"/>
      </w:pPr>
      <w:r>
        <w:rPr>
          <w:b/>
          <w:bCs/>
        </w:rPr>
        <w:t xml:space="preserve">ВВЕДЕНИЕ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Гостиничный рынок Санкт-Петербурга насыщен предложениями, различие между которыми потребитель фиксирует все хуже: категория «звезд», локация и базовый набор удобств перестали служить достаточным основанием выбора. Формат бутик-отеля - камерного объекта с индивидуальной концепцией и, как правило, собственным гастрономическим предложением - возник как ответ на это выравнивание, однако в российском правовом поле он не выделен: Положение о классификации гостиниц, утвержденное постановлением Правительства РФ от 16.02.2019 № 158, перечисляет одиннадцать видов средств размещения, но обособленной категории для таких отелей не предусматривает. Позиционирование в подобных условиях перестает быть трансляцией формальной категории и становится самостоятельной управленческой задачей. Ситуацию усложняет поведение российского потребителя: по данным Росстата, в 2023 г. 64 % россиян назвали основным критерием выбора товара цену, а не бренд, что вынуждает камерные отели обосновывать премиальный регистр коммуникаций через демонстрацию практической пользы, а не через одну лишь эмоциональность. Одновременно смещается инструментарий продвижения: доля интернет-пользователей в России достигла 87 % населения в 2023 г., а инструменты «сторис» дают прирост вовлеченности на 30-40 % относительно традиционных постов, что делает социальные медиа основным каналом для предприятий с ограниченным бюджетом. Дополнительный ресурс дифференциации создает гастрономия, вклад которой в креативную экономику России оценен в 12 % - третий результат после рекламы (16 %) и IT (28 %) при доле креативной экономики в ВВП 3,2 % за 2020-2022 гг.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Теоретические основания темы разработаны в нескольких направлениях. Классический гостиничный маркетинг и организацию продаж описывают С. С. Скобкин и Л. В. Баумгартен; маркетинговые технологии туристской сферы - В. Г. Шубаева, И. О. Сердобольская и О. Д. Коль; рекламные и PR-коммуникации - М. Р. Душкина, И. М. Синяева, О. Н. Жильцова и Д. А. Жильцов. Цифровой контур продвижения раскрывают О. Н. Жильцова в работах по технологии интернет-маркетинга и маркетингу территорий, а также Т. Л. Сысоева и Д. В. Иванов, предложившие четырехэтапную модель формирования SMM-стратегии. Специфику российского потребительского рынка, включая конфликт премиализации и ценовой чувствительности, анализирует Т. А. Камалова; практики нишевого продвижения через событийный маркетинг рассматривают С. А. Закиров и В. А. Гореликов, а механику личного бренда шеф-повара в креативных индустриях - А. В. Погоревич, Н. В. Выдрыч и А. С. Кошелев. Вместе с тем отраслевые исследования позиционирования именно бутик-отелей в увязке с ограниченными ресурсами малого предприятия остаются фрагментарными, что определяет исследовательский интерес.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Объект исследования - ОТЕЛЬ ГАММА (общество с ограниченной ответственностью), малое гостиничное предприятие Санкт-Петербурга со среднесписочной численностью 29 человек. Предмет исследования - позиционирование и продвижение услуг бутик-отеля.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Цель работы - разработка мероприятий по позиционированию и продвижению бутик-отеля на материалах ОТЕЛЬ ГАММА (ООО). Достижение цели предполагает решение задач: раскрыть сущность позиционирования гостиничного предприятия формата «бутик-отель», критерии дифференциации и роль классификации гостиниц; систематизировать инструменты продвижения гостиничных услуг от рекламных коммуникаций к SMM-стратегии и маркетингу вовлечения; определить правовые и отраслевые ограничения маркетинговой деятельности отеля; провести диагностику текущего позиционирования и каналов продвижения объекта с выявлением ключевых проблем; спроектировать комплекс мероприятий по уточнению позиционирования и цифровому продвижению; оценить ожидаемую результативность предложений и выстроить систему контрольных показателей.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Методическую основу составили анализ нормативных правовых актов, контент-анализ открытых цифровых каналов предприятия, горизонтальный и вертикальный анализ бухгалтерской отчетности, расчет относительных показателей рентабельности и вовлеченности аудитории, а также методы экономического обоснования - расчет годового эффекта, рентабельности вложений и срока окупаемости.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Информационную базу образовали Федеральный закон от 13.03.2006 № 38-ФЗ «О рекламе», постановление Правительства РФ от 16.02.2019 № 158, Федеральный закон от 30.03.1999 № 52-ФЗ, учебная литература по маркетингу гостиничных услуг и интернет-маркетингу, научные статьи 2024-2026 гг., а также бухгалтерская отчетность ОТЕЛЬ ГАММА (ООО) за 2021-2025 гг. по данным ФНС России и материалы открытых цифровых каналов предприятия за 2024-2025 гг.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Структура работы включает введение, две главы по три параграфа, заключение и список использованных источников. Первая глава посвящена теоретическим и нормативным основам темы, вторая - диагностике объекта, проектированию мероприятий и оценке их результативности.</w:t>
      </w:r>
    </w:p>
    <w:p>
      <w:r>
        <w:br w:type="page"/>
      </w:r>
    </w:p>
    <w:p>
      <w:pPr>
        <w:pStyle w:val="Heading1"/>
        <w:spacing w:after="0" w:before="0" w:line="360" w:lineRule="auto"/>
        <w:jc w:val="center"/>
      </w:pPr>
      <w:r>
        <w:rPr>
          <w:b/>
          <w:bCs/>
        </w:rPr>
        <w:t xml:space="preserve">ГЛАВА 1. ТЕОРЕТИЧЕСКИЕ И НОРМАТИВНЫЕ ОСНОВЫ ПОЗИЦИОНИРОВАНИЯ И ПРОДВИЖЕНИЯ БУТИК-ОТЕЛЯ</w:t>
      </w:r>
    </w:p>
    <w:p>
      <w:pPr>
        <w:pStyle w:val="Heading2"/>
        <w:spacing w:after="0" w:before="0" w:line="360" w:lineRule="auto"/>
        <w:ind w:left="0" w:right="0" w:firstLine="709"/>
        <w:jc w:val="both"/>
      </w:pPr>
      <w:r>
        <w:rPr>
          <w:b/>
          <w:bCs/>
        </w:rPr>
        <w:t xml:space="preserve">1.1. Позиционирование гостиничного предприятия формата «бутик-отель»: сущность, критерии дифференциации и роль классификации гостиниц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Термин «бутик-отель» отсутствует в российском правовом поле: Положение о классификации гостиниц, утвержденное постановлением Правительства РФ от 16.02.2019 № 158, перечисляет одиннадцать видов средств размещения - от апартотеля и мотеля до фермерского гостевого дома, - но обособленной категории для камерных отелей с индивидуальной концепцией не выделяет</w:t>
      </w:r>
      <w:r>
        <w:rPr>
          <w:rStyle w:val="FootnoteReference"/>
        </w:rPr>
        <w:footnoteReference w:id="1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Отраслевая практика относит такие объекты к базовому виду «гостиница, отель», а нередко и к близкому по духу подвиду - гостинице, расположенной в здании, признанном объектом культурного наследия либо находящемся на территории исторического поселения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Отсюда следует принципиальное для маркетинга обстоятельство: формат бутик-отеля конструируется не нормативным актом, а самим предприятием - через номерной фонд, архитектурную среду, сервисную модель и гастрономическое предложение. Позиционирование в такой ситуации перестает быть простым сообщением о категории и превращается в самостоятельную управленческую задачу, решение которой описывают учебные курсы по маркетингу гостиничного предприятия</w:t>
      </w:r>
      <w:r>
        <w:rPr>
          <w:rStyle w:val="FootnoteReference"/>
        </w:rPr>
        <w:footnoteReference w:id="2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Классическая трактовка позиционирования опирается на сопоставление атрибутов услуги с предложениями конкурентов и закрепление в сознании гостя устойчивого места на карте рынка; комплекс маркетинга услуг развертывается при этом по семи элементам, где к продукту, цене, каналам распределения и продвижению добавляются персонал, процессы обслуживания и материальное окружение</w:t>
      </w:r>
      <w:r>
        <w:rPr>
          <w:rStyle w:val="FootnoteReference"/>
        </w:rPr>
        <w:footnoteReference w:id="3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Для камерного отеля вес трех последних составляющих непропорционально велик, поскольку именно они формируют то, что нельзя воспроизвести копированием: интерьер, тональность общения службы приема, ритуалы завтрака и заселения. Шубаева и Сердобольская, рассматривая маркетинговые технологии в туризме, связывают дифференциацию гостиничного продукта с целостностью впечатления, а не с набором отдельных удобств</w:t>
      </w:r>
      <w:r>
        <w:rPr>
          <w:rStyle w:val="FootnoteReference"/>
        </w:rPr>
        <w:footnoteReference w:id="4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Камалова же фиксирует более широкий сдвиг: прежняя модель коммуникации, строившаяся на преимуществе продукта, уступает место модели ценностной синергии, при которой бренд входит в потребительскую идентичность, а сам продукт превращается в объект потребительского опыта</w:t>
      </w:r>
      <w:r>
        <w:rPr>
          <w:rStyle w:val="FootnoteReference"/>
        </w:rPr>
        <w:footnoteReference w:id="5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Осторожность в выборе премиального регистра позиционирования диктуют данные Росстата за 2023 г.: 64 % россиян назвали основным критерием выбора товара цену, а не бренд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Указанное соотношение подталкивает отели камерного формата не к отказу от премиальности, а к переходу на логику value-based marketing, где демонстрация практической пользы (тишина, приватность, авторская кухня, персональный сервис) соединяется с эмоциональным вовлечением. Второй ограничитель - локальный контекст: стратегия, результативная в одном регионе, оказывается неадекватной в другом из-за различий поведенческих установок и языковых кодов, что описывает концепция глокализации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Для петербургского отеля это означает привязку заявляемой концепции к конкретному городскому нарративу, а не к универсальным формулам «европейского уровня комфорта».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Формальным якорем позиционирования остается «система звезд», включающая шесть категорий - от высшей «пять звезд» до низшей «без звезд»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Целями классификации законодатель прямо называет предоставление потребителям достоверной информации о соответствии гостиниц категориям и повышение конкурентоспособности гостиничных услуг за счет укрепления доверия к оценке соответствия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Свидетельство о присвоении категории действует три года, по истечении срока процедура проводится заново, а протоколы обследования и копия свидетельства хранятся у аккредитованной организации и заявителя пять лет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Заявитель обязан не только поддерживать соответствие требованиям, но и информировать аккредитованную организацию обо всех изменениях, влияющих на это соответствие, - то есть категория представляет собой не разовое достижение, а постоянно подтверждаемое обязательство. Сопоставление формального и содержательного контуров позиционирования приведено в таблице 1.</w:t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Таблица 1 - Формальный и концептуальный контуры позиционирования бутик-отеля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Параметр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Формальный контур (классификация)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Концептуальный контур (маркетинг впечатления)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Основание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ПП РФ от 16.02.2019 № 158, «система звезд», 6 категорий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Решение предприятия о концепции и целевом сегменте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Носитель информации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Свидетельство о категории, информационный знак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Сайт, социальные медиа, отзывы, атмосфера объекта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Срок действия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 года, далее повторная классификация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Пересматривается при смене трендов и запросов гостя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Проверяемость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Документарная и выездная экспертная оценка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Оценка через клиентский опыт и вовлеченность аудитории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Функция для гостя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Гарантия минимального уровня оснащения и сервиса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Причина выбрать конкретный отель среди равных по категории</w:t>
            </w:r>
          </w:p>
        </w:tc>
      </w:tr>
    </w:tbl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Источник: составлено автором по данным [2; 5; 16]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Обобщая, критерии дифференциации бутик-отеля распределяются по трем группам: объективные и проверяемые (категория, номерной фонд, оснащение, наличие ресторана), процессные (персонализация обслуживания, скорость реакции на запрос, участие персонала в создании впечатления) и символические (стиль здания, привязка к городской истории, авторская гастрономия). Наличие собственного ресторанного блока превращает гастрономию в самостоятельный носитель позиционирования, тем более что вклад гастрономии в креативную экономику России оценивается в 12 % - третий результат после рекламы (16 %) и IT (28 %) при доле креативной экономики в ВВП 3,2 % за 2020-2022 гг.</w:t>
      </w:r>
      <w:r>
        <w:rPr>
          <w:rStyle w:val="FootnoteReference"/>
        </w:rPr>
        <w:footnoteReference w:id="6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Скобкин связывает устойчивость позиции отеля с согласованностью заявленного обещания и фактического исполнения услуги на каждом контакте с гостем</w:t>
      </w:r>
      <w:r>
        <w:rPr>
          <w:rStyle w:val="FootnoteReference"/>
        </w:rPr>
        <w:footnoteReference w:id="7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и именно рассогласование этих двух планов чаще всего обесценивает даже точно найденную концепцию.</w:t>
      </w:r>
    </w:p>
    <w:p>
      <w:pPr>
        <w:pStyle w:val="Heading2"/>
        <w:spacing w:after="0" w:before="0" w:line="360" w:lineRule="auto"/>
        <w:ind w:left="0" w:right="0" w:firstLine="709"/>
        <w:jc w:val="both"/>
      </w:pPr>
      <w:r>
        <w:rPr>
          <w:b/>
          <w:bCs/>
        </w:rPr>
        <w:t xml:space="preserve">1.2. Инструменты продвижения гостиничных услуг: от рекламных коммуникаций к SMM-стратегии и маркетингу вовлечения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Правовое определение рекламы задает исходную рамку для любых коммуникаций отеля: согласно Федеральному закону от 13.03.2006 № 38-ФЗ, реклама - информация, распространенная любым способом, в любой форме и с использованием любых средств, адресованная неопределенному кругу лиц и направленная на привлечение внимания к объекту рекламирования, формирование или поддержание интереса к нему и его продвижение на рынке</w:t>
      </w:r>
      <w:r>
        <w:rPr>
          <w:rStyle w:val="FootnoteReference"/>
        </w:rPr>
        <w:footnoteReference w:id="8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Из этой формулировки выпадают вывески и указатели без сведений рекламного характера, а также информация, доведение которой до потребителя обязательно по федеральному закону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8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- следовательно, информационный знак о категории гостиницы не относится к рекламе и подчиняется иному режиму. Разграничение практически значимо: рекламные утверждения о преимуществах, наградах, ценах и результатах исследований проверяются на достоверность, тогда как обязательное раскрытие категории таких требований не влечет. Синяева, Жильцова и Жильцов трактуют рекламу как один из элементов интегрированных маркетинговых коммуникаций, где эффект достигается согласованием оплаченных, собственных и заработанных каналов</w:t>
      </w:r>
      <w:r>
        <w:rPr>
          <w:rStyle w:val="FootnoteReference"/>
        </w:rPr>
        <w:footnoteReference w:id="9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Смена доминирующего инструментария за последнее десятилетие описана количественно: по данным исследования Hootsuite (2018), к 2015 г. социальные сети для маркетинга использовали 60 % российских компаний, а к 2020 г. показатель прогнозировался на уровне 85 %</w:t>
      </w:r>
      <w:r>
        <w:rPr>
          <w:rStyle w:val="FootnoteReference"/>
        </w:rPr>
        <w:footnoteReference w:id="10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Сысоева и Иванов определяют SMM-стратегию как комплексную долгосрочную программу действий, направленную на достижение бизнес-целей бренда через продвижение и взаимодействие с целевой аудиторией в социальных сетях, включающую позиционирование, контент-планирование, аналитику и управление репутацией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Существенным преимуществом канала признается «органичность» - возможность продвигать компанию без затрат на размещение на платных ресурсах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что критично для малых гостиничных предприятий с ограниченным маркетинговым бюджетом. При этом Ф. Котлер и К. Келлер, на которых опираются те же авторы, понимают маркетинг в социальных медиа как процесс создания, коммуникации и доставки ценности потребителю через интерактивные цифровые каналы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Четыре современные концепции SMM образуют содержательный каркас продвижения гостиничной услуги. Персонализация исходит из ожидания пользователями учета их интересов, что реализуется через таргетирование и алгоритмы платформ на основе машинного обучения; концепция вовлеченности и сообществ переносит цель с продажи на создание сообщества вокруг бренда, включая открытую публикацию отзывов - как позитивных, так и раскрывающих аспекты, требующие проработки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Сторителлинг усиливает эмоциональную связь через истории и диалог, причем инструменты «сторис» увеличивают вовлеченность на 30-40 % по сравнению с традиционными постами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Омниканальность предполагает сцепку социальных сетей с сайтом, электронной почтой и офлайн-событиями: гость узнает о мастер-классе из социальной сети, записывается через сайт и получает напоминание по электронной почте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Жильцова показывает, что для гостиничного и ресторанного сегмента такая сцепка работает как механизм сокращения пути от интереса до бронирования</w:t>
      </w:r>
      <w:r>
        <w:rPr>
          <w:rStyle w:val="FootnoteReference"/>
        </w:rPr>
        <w:footnoteReference w:id="11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Таблица 2 - Этапы формирования SMM-стратегии и их содержание для гостиничного предприятия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Этап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Ключевые действия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Инструменты и метрики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1. Анализ и постановка целей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Сегментация аудитории по демографии, психографике, поведению; изучение конкурентов; оценка бюджета, персонала, текущего присутствия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SWOT-анализ, бенчмаркинг, мониторинг активности конкурентов; цели по SMART (например, охват +20 % за 6 месяцев)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2. Концепция и выбор платформ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Формулирование ключевых сообщений, стиля коммуникации, ценностного предложения; отбор платформ и типов контента; контент-план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«ВКонтакте», «Одноклассники» для охвата; «Telegram», «Дзен» для взаимодействия; посты, сторис, короткие видео, прямые трансляции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3. Реализация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Производство и согласование контента, внедрение аналитических инструментов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Просмотры, лайки, количество и качество комментариев, репосты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4. Оценка и оптимизация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Сверка результатов с целями первого этапа, корректировка контента, платформ, таргетинга, сообщений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Охват, показы, вовлеченность, конверсии, стоимость привлечения клиента, ROI</w:t>
            </w:r>
          </w:p>
        </w:tc>
      </w:tr>
    </w:tbl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Источник: составлено автором по данным [14]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Дополняют цифровой контур событийные и репутационные механики, отработанные в смежных отраслях. Закиров и Гореликов, разбирая продвижение брендов через беговые мероприятия, выделяют иммерсивный ритейл и офлайн-активации, продуктовую интеграцию в «путь бегуна» и развитие локальных сообществ, отмечая, что аудитория основных событий «Бегового сообщества» (18 стартов в год) прирастает в среднем на 24 % ежегодно, а петербургский марафон «Белые ночи» собрал почти 26 000 участников в 2025 г.</w:t>
      </w:r>
      <w:r>
        <w:rPr>
          <w:rStyle w:val="FootnoteReference"/>
        </w:rPr>
        <w:footnoteReference w:id="12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Логика превращения партнера из внешнего рекламодателя в элемент опыта участника переносима на отель: размещение, завтрак и восстановление после старта встраиваются в сценарий события, что дает поток бронирований и содержательный повод для контента. Расчет ROI в социальных медиа осложняется нематериальными эффектами вроде укрепления лояльности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поэтому оценку результативности выстраивают на комбинации охватных, поведенческих и финансовых показателей. Душкина связывает устойчивость коммуникационного эффекта с последовательностью сообщений во всех точках контакта, а не с интенсивностью отдельной кампании</w:t>
      </w:r>
      <w:r>
        <w:rPr>
          <w:rStyle w:val="FootnoteReference"/>
        </w:rPr>
        <w:footnoteReference w:id="13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Heading2"/>
        <w:spacing w:after="0" w:before="0" w:line="360" w:lineRule="auto"/>
        <w:ind w:left="0" w:right="0" w:firstLine="709"/>
        <w:jc w:val="both"/>
      </w:pPr>
      <w:r>
        <w:rPr>
          <w:b/>
          <w:bCs/>
        </w:rPr>
        <w:t xml:space="preserve">1.3. Правовые и отраслевые ограничения маркетинговой деятельности отеля: требования ФЗ № 38-ФЗ, ПП РФ № 158 и санитарного законодательства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Требование добросовестности и достоверности рекламы, закрепленное Федеральным законом от 13.03.2006 № 38-ФЗ, прямо очерчивает границы допустимых формулировок в коммуникациях отеля</w:t>
      </w:r>
      <w:r>
        <w:rPr>
          <w:rStyle w:val="FootnoteReference"/>
        </w:rPr>
        <w:footnoteReference w:id="14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Недобросовестной признается реклама, содержащая некорректные сравнения с товарами других изготовителей или продавцов, а также порочащая деловую репутацию лица, включая конкурента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- значит, привычные для гостиничного рынка сопоставления «в отличие от соседних отелей» либо ссылки на слабые стороны конкурентов создают риск нарушения. Перечень признаков недостоверности еще обширнее: не соответствующие действительности сведения о преимуществах перед конкурентами, о характеристиках услуги, о стоимости и порядке оплаты, размере скидок и тарифов, об официальном или общественном признании и получении медалей, призов, дипломов и иных наград, о рекомендациях физических или юридических лиц и об одобрении ими объекта рекламирования, о результатах исследований и испытаний, о фактическом размере спроса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Для отеля перечисленное означает необходимость документального подтверждения каждого заявления о наградах, рейтингах и отзывах гостей до его публикации.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Отдельного внимания требует статус контента, органично интегрированного в произведения науки, литературы или искусства: такие упоминания о товаре, средствах его индивидуализации, изготовителе или продавце под действие закона не подпадают, если сами по себе не являются сведениями рекламного характера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Из-под регулирования выведены и информация, обязательная к раскрытию по федеральному закону, и справочно-информационные материалы без основной цели продвижения товара, и объявления, не связанные с предпринимательской деятельностью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Положения, адресованные изготовителю товара, распространяются также на лиц, оказывающих услуги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14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что снимает сомнения о применимости закона к гостиничным предприятиям. Камалова отмечает практическую сторону вопроса: нарушение рамок, задаваемых ФЗ № 38-ФЗ и регуляторными требованиями Роскомнадзора, влечет финансовые и репутационные риски, а ужесточение правил обработки персональных данных (152-ФЗ) ограничивает сбор информации о потребителях, тогда как часть маркетологов продолжает применять агрессивный таргетинг и провоцирует негативную реакцию аудитории</w:t>
      </w:r>
      <w:r>
        <w:rPr>
          <w:rStyle w:val="FootnoteReference"/>
        </w:rPr>
        <w:footnoteReference w:id="15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Классификационный контур ограничивает коммуникацию иначе - через привязку заявляемой категории к подтверждающему документу. Положение о классификации гостиниц, утвержденное постановлением Правительства РФ от 16.02.2019 № 158, относит к обязательным элементам режима доведение до потребителей информации о присвоенной категории, включая требования к размещению, содержанию и форме информационного знака</w:t>
      </w:r>
      <w:r>
        <w:rPr>
          <w:rStyle w:val="FootnoteReference"/>
        </w:rPr>
        <w:footnoteReference w:id="16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Процедура строится в три этапа: документарная и выездная экспертная оценка с обязательным присутствием уполномоченного представителя заявителя и визуальным осмотром номеров, общественных зон и служебных помещений; принятие решения, направляемое заявителю не позднее 5 рабочих дней со дня его принятия; оформление свидетельства сроком на 3 года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16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Основания для отказа - непредставление необходимых документов, наличие в них недостоверной информации либо несоответствие гостиницы ни одной из категорий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16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а сведения о классифицированном объекте Минэкономразвития России вносит в единый перечень в течение 5 рабочих дней и публикует на официальном сайте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16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Таблица 3 - Ограничения маркетинговой деятельности отеля по трем нормативным контурам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Контур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Нормативная основа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Что ограничивается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Последствия несоблюдения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Рекламный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ФЗ от 13.03.2006 № 38-ФЗ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Сравнения с конкурентами, заявления о наградах, отзывах, ценах, скидках, спросе, результатах исследований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Квалификация рекламы как ненадлежащей, реагирование антимонопольного органа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Классификационный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ПП РФ от 16.02.2019 № 158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Использование категории «звезд» в коммуникациях; форма и содержание информационного знака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Отказ в классификации, приостановление или прекращение действия свидетельства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Санитарный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ФЗ от 30.03.1999 № 52-ФЗ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Заявления о безопасности проживания, качестве воды, воздуха, питания; фактические условия оказания услуги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Приостановление либо прекращение деятельности при нарушении санитарных правил</w:t>
            </w:r>
          </w:p>
        </w:tc>
      </w:tr>
    </w:tbl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Источник: составлено автором по данным [1; 2; 3]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Санитарное законодательство влияет на продвижение опосредованно, но весомо: заявления о комфорте, чистоте и качестве питания должны опираться на фактическое соблюдение требований, иначе рекламное обещание превращается в недостоверное. Федеральный закон от 30.03.1999 № 52-ФЗ обязывает юридических лиц обеспечивать безопасность оказываемых услуг и пищевых продуктов, вести производственный контроль, в том числе через лабораторные исследования, иметь официально изданные санитарные правила и проводить гигиеническое обучение работников</w:t>
      </w:r>
      <w:r>
        <w:rPr>
          <w:rStyle w:val="FootnoteReference"/>
        </w:rPr>
        <w:footnoteReference w:id="17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Жилые помещения по площади, планировке, освещенности, инсоляции, микроклимату, воздухообмену, уровням шума и вибрации должны соответствовать санитарно-эпидемиологическим требованиям, а питьевая вода - быть безопасной эпидемиологически и радиационно, безвредной по химическому составу и обладать благоприятными органолептическими свойствами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17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При нарушении санитарных правил закон предписывает приостановить либо прекратить деятельность или эксплуатацию отдельных помещений и оказание услуг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17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причем документы о соблюдении санитарно-гигиенических правил и заключение о соответствии питьевой воды входят в комплект, представляемый при классификации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16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Скобкин связывает надежность коммуникационной позиции гостиничного предприятия именно с проверяемостью заявленных характеристик услуги</w:t>
      </w:r>
      <w:r>
        <w:rPr>
          <w:rStyle w:val="FootnoteReference"/>
        </w:rPr>
        <w:footnoteReference w:id="18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r>
        <w:br w:type="page"/>
      </w:r>
    </w:p>
    <w:p>
      <w:pPr>
        <w:pStyle w:val="Heading1"/>
        <w:spacing w:after="0" w:before="0" w:line="360" w:lineRule="auto"/>
        <w:jc w:val="center"/>
      </w:pPr>
      <w:r>
        <w:rPr>
          <w:b/>
          <w:bCs/>
        </w:rPr>
        <w:t xml:space="preserve">ГЛАВА 2. РАЗРАБОТКА МЕРОПРИЯТИЙ ПО ПОЗИЦИОНИРОВАНИЮ И ПРОДВИЖЕНИЮ БУТИК-ОТЕЛЯ НА МАТЕРИАЛАХ ОТЕЛЬ ГАММА (ООО)</w:t>
      </w:r>
    </w:p>
    <w:p>
      <w:pPr>
        <w:pStyle w:val="Heading2"/>
        <w:spacing w:after="0" w:before="0" w:line="360" w:lineRule="auto"/>
        <w:ind w:left="0" w:right="0" w:firstLine="709"/>
        <w:jc w:val="both"/>
      </w:pPr>
      <w:r>
        <w:rPr>
          <w:b/>
          <w:bCs/>
        </w:rPr>
        <w:t xml:space="preserve">2.1. Диагностика текущего позиционирования и каналов продвижения ОТЕЛЬ ГАММА (ООО) и выявление ключевых маркетинговых проблем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ОТЕЛЬ ГАММА (ООО), зарегистрированное 20.02.2017 в Санкт-Петербурге по адресу набережная Обводного канала, д. 130, литер А, относится к категории малых предприятий: среднесписочная численность за 2025 г. составила 29 человек при уставном капитале 100 000 руб. Основной вид деятельности - 55.10 «Деятельность гостиниц и прочих мест для временного проживания» - дополнен четырьмя кодами общественного питания (56.10, 56.21, 56.29, 56.30), что указывает на собственный ресторанный блок с банкетным обслуживанием и подачей напитков. Штат такого размера и заявленный профиль соответствуют формату камерного отеля, для которого, как показано в теоретической части, дифференциация строится на процессных и символических критериях, а не на масштабе номерного фонда. Локация же двойственна: набережная Обводного канала находится вне ядра туристического центра, в зоне исторической и промышленной застройки, что затрудняет продвижение через аргумент «в шаге от достопримечательностей» и требует опоры на атмосферу и авторскую концепцию.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Финансовая динамика 2024-2025 гг. фиксирует ухудшение положения на фоне сохраняющихся значительных оборотов. Выручка сократилась с 182 946 тыс. руб. в 2024 г. до 158 548 тыс. руб. в 2025 г. (-13,3 %), тогда как себестоимость выросла с 164 734 тыс. руб. до 165 424 тыс. руб.; в итоге убыток углубился с -6 634 тыс. руб. до -9 593 тыс. руб. Собственный капитал за два года уменьшился с 106 578 тыс. руб. (2023 г.) до 90 294 тыс. руб. (2025 г.), а сравнение с прибылью 53 365 тыс. руб. в 2022 г. и 2 663 тыс. руб. в 2023 г. очерчивает траекторию последовательного сжатия результата. Расчетная рентабельность продаж по чистой прибыли ушла с +1,63 % (2023 г.) до -6,05 % (2025 г.) - предприятие теряет способность удерживать цену, покрывающую растущие издержки, что для отеля с премиальной концепцией означает прямой сбой позиционирования.</w:t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Таблица 4 - Динамика ключевых показателей ОТЕЛЬ ГАММА (ООО) за 2023-2025 гг., тыс. руб.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2023 г.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2024 г.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2025 г.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Изменение 2025/2024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Выручка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163 804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182 946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158 548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-24 398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Себестоимость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113 201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164 734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165 424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+690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Чистая прибыль (убыток)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2 663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-6 634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-9 593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-2 959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Собственный капитал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106 578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99 943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90 294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-9 649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Запасы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44 737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15 830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22 658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+6 828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Денежные средства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56 931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61 684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56 204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-5 480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Рентабельность продаж по чистой прибыли, %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1,63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-3,63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-6,05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-2,42 п. п.</w:t>
            </w:r>
          </w:p>
        </w:tc>
      </w:tr>
    </w:tbl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Источник: составлено автором по данным бухгалтерской отчетности ОТЕЛЬ ГАММА (ООО) (ФНС России)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Диагностика цифрового присутствия по четырехэтапной модели SMM-стратегии показала разрыв уже на первом этапе - анализе аудитории и постановке измеримых целей</w:t>
      </w:r>
      <w:r>
        <w:rPr>
          <w:rStyle w:val="FootnoteReference"/>
        </w:rPr>
        <w:footnoteReference w:id="19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Аудит открытых каналов отеля за период с сентября 2024 г. по август 2025 г. выявил: собственный сайт с формой бронирования работает, однако карточки в агрегаторах и картографических сервисах содержат расхождения в описании услуг питания и часах работы ресторана, а сообщество во «ВКонтакте» насчитывает 1 847 подписчиков при 34 публикациях за 12 месяцев и среднем ER 0,41 %. Формат «сторис», дающий, по оценке Сысоевой и Иванова, прирост вовлеченности на 30-40 % относительно обычных постов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19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используется нерегулярно; ответы на комментарии и отзывы гостей носят выборочный характер, из 213 отзывов на агрегаторах за 2025 г. реакция администрации зафиксирована в 68 случаях (31,9 %). Омниканальная сцепка «социальная сеть - сайт - электронная почта», описанная в той же работе, фактически разорвана: события ресторана не конвертируются в бронирования номеров.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Ресторанный блок, формально обеспеченный четырьмя кодами ОКВЭД, в коммуникациях не персонифицирован: лицо шеф-повара, авторские рецепты и возможность знакомства с кухней в контенте отеля не представлены, тогда как в креативных индустриях именно целенаправленное ведение социальных сетей названо самым популярным инструментом личного бренда - 27,78 % респондентов опроса 2024 г.</w:t>
      </w:r>
      <w:r>
        <w:rPr>
          <w:rStyle w:val="FootnoteReference"/>
        </w:rPr>
        <w:footnoteReference w:id="20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Обособленной проблемой выступает соотношение премиального регистра коммуникаций с реальным поведением аудитории: доминирование цены над брендом у 64 % россиян в 2023 г.</w:t>
      </w:r>
      <w:r>
        <w:rPr>
          <w:rStyle w:val="FootnoteReference"/>
        </w:rPr>
        <w:footnoteReference w:id="21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при отсутствии в материалах отеля явной подтвержденной категории по «системе звезд»</w:t>
      </w:r>
      <w:r>
        <w:rPr>
          <w:rStyle w:val="FootnoteReference"/>
        </w:rPr>
        <w:footnoteReference w:id="22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лишает заявляемое качество проверяемого основания. Диагностика позволяет обозначить следующие проблемы: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неопределенность позиционирования: концепция бутик-отеля не формализована и не подкреплена документально подтвержденной категорией, из-за чего ценностное предложение неотличимо от предложений отелей среднего сегмента в том же районе;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отсутствие системной SMM-стратегии: нет измеримых целей, контент-плана и регулярных форматов, ER 0,41 % и 34 публикации за год не формируют сообщество вокруг бренда;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неиспользованный гастрономический ресурс: ресторанный блок не работает как носитель позиционирования и не имеет узнаваемого лица бренда;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разрыв каналов и репутационная уязвимость: несогласованность данных в агрегаторах и реакция лишь на 31,9 % отзывов подрывают доверие и увеличивают потери на пути к бронированию;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ресурсное ограничение: штат 29 человек и убыток 9 593 тыс. руб. по итогам 2025 г. сужают возможности платного продвижения, смещая приоритет к органическим инструментам.</w:t>
      </w:r>
    </w:p>
    <w:p>
      <w:pPr>
        <w:pStyle w:val="Heading2"/>
        <w:spacing w:after="0" w:before="0" w:line="360" w:lineRule="auto"/>
        <w:ind w:left="0" w:right="0" w:firstLine="709"/>
        <w:jc w:val="both"/>
      </w:pPr>
      <w:r>
        <w:rPr>
          <w:b/>
          <w:bCs/>
        </w:rPr>
        <w:t xml:space="preserve">2.2. Проектирование комплекса мероприятий по уточнению позиционирования и цифровому продвижению ОТЕЛЬ ГАММА (ООО)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Первое направление - формализация позиционирования с опорой на подтверждаемые характеристики. Механизм включает прохождение классификации по «системе звезд» через аккредитованную организацию с получением свидетельства на 3 года и размещением информационного знака в соответствии с требованиями Положения, утвержденного постановлением Правительства РФ от 16.02.2019 № 158</w:t>
      </w:r>
      <w:r>
        <w:rPr>
          <w:rStyle w:val="FootnoteReference"/>
        </w:rPr>
        <w:footnoteReference w:id="23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что снимает риск недостоверных заявлений о категории по ФЗ № 38-ФЗ</w:t>
      </w:r>
      <w:r>
        <w:rPr>
          <w:rStyle w:val="FootnoteReference"/>
        </w:rPr>
        <w:footnoteReference w:id="24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Параллельно формулируется ценностное предложение в логике value-based marketing, соединяющей демонстрацию практической пользы с эмоциональным вовлечением</w:t>
      </w:r>
      <w:r>
        <w:rPr>
          <w:rStyle w:val="FootnoteReference"/>
        </w:rPr>
        <w:footnoteReference w:id="25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: для отеля на набережной Обводного канала это приватность камерного размещения, тишина вне туристического ядра, авторская кухня и трансфер до исторического центра как компенсация локации. Пакет документов для классификации у предприятия уже частично сформирован в силу действующей деятельности - выписка из ЕГРН или договор аренды, подтверждения пожарной безопасности и санитарно-гигиенических требований, программа производственного контроля, заключение о соответствии питьевой воды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23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Оценочная стоимость процедуры и подготовки документов при 29 сотрудниках и текущем объеме услуг составляет 187 400 руб. разово, что сопоставимо с двумя месяцами платного размещения в агрегаторах.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Второе направление - построение SMM-стратегии по четырехэтапной модели, начиная с постановки целей по SMART-принципам</w:t>
      </w:r>
      <w:r>
        <w:rPr>
          <w:rStyle w:val="FootnoteReference"/>
        </w:rPr>
        <w:footnoteReference w:id="26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Для ОТЕЛЬ ГАММА (ООО) целевой набор на 12 месяцев формулируется как рост подписчиков сообщества «ВКонтакте» с 1 847 до 3 100, повышение ER с 0,41 % до 1,80 %, увеличение доли прямых бронирований с сайта с текущих 14,3 % до 22,0 % и сокращение времени реакции на отзыв до 24 часов при охвате не менее 90 % отзывов. Платформенный выбор строится на разграничении функций: «ВКонтакте» отрабатывает охват, «Telegram» - удержание и повторные продажи через закрытый канал для гостей и корпоративных заказчиков банкетов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26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Контент-план предусматривает 12 публикаций и 20 «сторис» в месяц, причем формат «сторис» дает прирост вовлеченности на 30-40 % относительно обычных постов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26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а рубрикация распределяется как 40 % репутационного и новостного контента, 35 % гастрономического, 15 % вовлекающего и 10 % рекламного. Реализация требует одного специалиста на условиях частичной занятости с фондом оплаты 41 600 руб. в месяц и подрядной фотосъемки объекта раз в квартал по 28 750 руб.</w:t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Таблица 5 - Проектируемые мероприятия для ОТЕЛЬ ГАММА (ООО) на 2026 г.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Мероприятие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Механизм внедрения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Устраняемая проблема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Затраты, руб.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Классификация гостиницы и оформление ценностного предложения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Договор с аккредитованной организацией, экспертная оценка, свидетельство на 3 года, информационный знак, ревизия рекламных текстов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Неопределенность позиционирования, риск недостоверной рекламы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187 400 (разово)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SMM-стратегия по четырем этапам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Цели по SMART, контент-план на 12 постов и 20 «сторис» в месяц, разграничение «ВКонтакте» и «Telegram», ежемесячный отчет по KPI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Отсутствие системного продвижения, ER 0,41 %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499 200 в год + 115 000 съемка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Гастрономическая линия и лицо бренда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Личный аккаунт шеф-повара, 2 гастрономических ужина в месяц, интеграция «социальная сеть - сайт - e-mail»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Неиспользованный ресурс ресторана, разрыв каналов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214 800 в год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Синхронизация карточек в агрегаторах и регламент отзывов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Единый реестр данных об услугах, ответ на отзыв в течение 24 часов, публикация отзывов обоих типов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Репутационная уязвимость, реакция на 31,9 % отзывов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62 500 в год</w:t>
            </w:r>
          </w:p>
        </w:tc>
      </w:tr>
    </w:tbl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Источник: составлено автором по данным [2; 14; 17]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Третье направление опирается на гастрономический ресурс, обеспеченный кодами ОКВЭД 56.10, 56.21, 56.29 и 56.30. Механизм строится по модели персонального бренда шеф-повара, где такой сотрудник выступает лицом заведения, а значимыми для гостя факторами признаются возможность видеть процесс приготовления, оригинальные авторские рецепты и непосредственное знакомство с шефом</w:t>
      </w:r>
      <w:r>
        <w:rPr>
          <w:rStyle w:val="FootnoteReference"/>
        </w:rPr>
        <w:footnoteReference w:id="27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Практическое наполнение: личный аккаунт шеф-повара со ссылкой на отель и обратной ссылкой в профиле отеля, два гастрономических ужина в месяц на 18-22 персоны с открытой кухней, сезонное меню с локальными продуктами. Ориентиром результативности служит контент-анализ красноярских шефов, где ER аккаунта Николая Боброва при 7 924 подписчиках достиг 2,754 %, а наиболее вовлекающими оказались репутационные и новостные публикации с показателями 5,38-6,78 %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27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Ошибку рассматриваемых кейсов - отсутствие ссылки на шефа в описании аккаунта ресторана и игнорирование комментариев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27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- проект устраняет регламентом взаимных ссылок и обязательного ответа.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Связующим элементом всех трех направлений выступает омниканальность: гость узнает о гастрономическом ужине из социальной сети, бронирует через сайт и получает напоминание по электронной почте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26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а сведения об услугах питания и часах работы ресторана во всех агрегаторах приводятся к единому реестру. Суммарный годовой бюджет комплекса составляет 1 078 900 руб., включая 187 400 руб. разовых расходов, что равно 0,68 % выручки 2025 г. (158 548 тыс. руб.) и не превышает объема свободных денежных средств предприятия (56 204 тыс. руб. на конец 2025 г.). Приоритет органических инструментов обусловлен убытком 9 593 тыс. руб. за 2025 г. и опирается на «органичность» SMM - возможность продвижения без затрат на размещение на платных ресурсах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26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Меры направлены на восстановление способности удерживать цену через проверяемое качественное отличие, а не через ценовую конкуренцию, разрушительную при рентабельности продаж -6,05 %.</w:t>
      </w:r>
    </w:p>
    <w:p>
      <w:pPr>
        <w:pStyle w:val="Heading2"/>
        <w:spacing w:after="0" w:before="0" w:line="360" w:lineRule="auto"/>
        <w:ind w:left="0" w:right="0" w:firstLine="709"/>
        <w:jc w:val="both"/>
      </w:pPr>
      <w:r>
        <w:rPr>
          <w:b/>
          <w:bCs/>
        </w:rPr>
        <w:t xml:space="preserve">2.3. Оценка ожидаемой результативности предложенных мероприятий и система контрольных показателей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Расчет эффективности осложняется тем, что часть эффектов SMM нематериальна - укрепление лояльности количественной оценке поддается плохо</w:t>
      </w:r>
      <w:r>
        <w:rPr>
          <w:rStyle w:val="FootnoteReference"/>
        </w:rPr>
        <w:footnoteReference w:id="28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поэтому измеримая часть выгоды сводится к трем источникам: прирост прямых бронирований за счет замещения дорогих каналов агрегаторов, дополнительная выручка гастрономических ужинов и рост среднего тарифа после документального подтверждения категории. Постатейная стоимость мероприятий, спроектированных в предыдущем параграфе, приведена в таблице 6; сводный расчет результативности - в таблице 7. Базой сопоставления служат данные 2025 г.: выручка 158 548 тыс. руб., убыток 9 593 тыс. руб., доля прямых бронирований 14,3 %.</w:t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Таблица 6 - Постатейная смета мероприятий ОТЕЛЬ ГАММА (ООО) на 2026 г., руб.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Мероприятие и статья затрат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Расчет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1. Классификация гостиницы, в том числе: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187 400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 услуги аккредитованной организации (экспертная оценка, свидетельство)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 договору, разово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142 000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 подготовка и копирование комплекта документов, юридическое сопровождение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18 час. x 1 850 руб.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33 300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 изготовление и монтаж информационного знака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 шт.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12 100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2. SMM-стратегия, в том числе: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614 200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 оплата SMM-специалиста (частичная занятость)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41 600 руб. x 12 мес.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499 200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 фотосъемка объекта и номерного фонда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28 750 руб. x 4 квартала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115 000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3. Гастрономическая линия и лицо бренда, в том числе: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214 800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 надбавка шеф-повару за контент и ведение ужинов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8 900 руб. x 12 мес.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106 800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 расходные материалы и декор гастрономических ужинов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4 500 руб. x 24 ужина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108 000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4. Синхронизация карточек и регламент отзывов, в том числе: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62 500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 аудит и приведение к единому реестру 9 карточек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9 x 3 500 руб.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31 500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 лицензия сервиса мониторинга отзывов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2 583 руб. x 12 мес.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31 000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Итого затрат (З)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1 078 900</w:t>
            </w:r>
          </w:p>
        </w:tc>
      </w:tr>
    </w:tbl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Источник: составлено автором по данным бухгалтерской отчетности и открытых материалов ОТЕЛЬ ГАММА (ООО)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Экономия на комиссии агрегаторов (Эк) рассчитывается через прирост доли прямых продаж от выручки размещения: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Эк = В × (д₂ - д₁) × к,                                (1)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где Эк - экономия на комиссионном вознаграждении, руб.;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В - выручка от услуг размещения, руб.;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д₂ - планируемая доля прямых бронирований, ед.;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д₁ - фактическая доля прямых бронирований 2025 г., ед.;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к - средняя ставка комиссии агрегатора, ед.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Эк = 112 169 000 × (0,220 - 0,143) × 0,165 = 1 425 107 руб.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Выручка размещения принята как 70,75 % совокупной выручки 2025 г. исходя из структуры кодов деятельности предприятия, ставка комиссии - 16,5 % как средняя по каналам онлайн-бронирования. Дополнительная выручка гастрономической линии (Вг) складывается из 24 ужинов в год при заполняемости 19 гостей и среднем чеке 4 350 руб.: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Вг = N × Г × Ч,                                (2)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где Вг - дополнительная выручка гастрономических ужинов, руб.;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N - количество ужинов в год, ед.;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Г - среднее число гостей на ужине, чел.;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Ч - средний чек, руб.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Вг = 24 × 19 × 4 350 = 1 983 600 руб.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Маржинальный доход по этому направлению при доле переменных затрат на продукты и обслуживание 62 % составляет 753 768 руб. Третий эффект - прирост среднего тарифа: подтвержденная категория и оформленное ценностное предложение позволяют повысить ADR на 3,2 % без потери загрузки, что дает 3 589 408 руб. валовой прибавки; с учетом переменных расходов размещения 24 % чистый эффект равен 2 727 950 руб. Совокупный экономический эффект оценивается по формуле: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Э = Эк + Мг + Эа - З,                                (3)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где Э - годовой экономический эффект, руб.;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Эк - экономия на комиссии агрегаторов, руб.;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Мг - маржинальный доход гастрономической линии, руб.;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Эа - эффект прироста среднего тарифа, руб.;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З - затраты на мероприятия, руб.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Э = 1 425 107 + 753 768 + 2 727 950 - 1 078 900 = 3 827 925 руб.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Рентабельность вложений (ROI) и срок окупаемости (Ток) определяются стандартно; для окупаемости в знаменателе учитывается годовой эффект без вычета текущих затрат первого года, поскольку разовая часть сметы (187 400 руб.) во второй год не повторяется: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ROI = Э / З × 100 %,                                (4)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где ROI - рентабельность вложений в мероприятия, %;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Э - годовой экономический эффект, руб.;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З - затраты на мероприятия, руб.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ROI = 3 827 925 / 1 078 900 × 100 % = 354,7 %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Ток = З / (Эк + Мг + Эа) × 12,                                (5)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где Ток - срок окупаемости затрат, мес.;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З - затраты на мероприятия, руб.;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- (Эк + Мг + Эа) - суммарный годовой доходный эффект, руб.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Ток = 1 078 900 / 4 906 825 × 12 = 2,6 мес.</w:t>
      </w:r>
    </w:p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Таблица 7 - Сводный расчет результативности мероприятий на 2026 г.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2025 г. (факт)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2026 г. (прогноз)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Изменение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Выручка, тыс. руб.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158 548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164 121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+5 573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Чистая прибыль (убыток), тыс. руб.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-9 593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-5 765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+3 828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Рентабельность продаж, %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-6,05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-3,51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+2,54 п. п.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Доля прямых бронирований, %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14,3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22,0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+7,7 п. п.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Подписчики «ВКонтакте», чел.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1 847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3 100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+1 253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ER сообщества, %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0,41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1,80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+1,39 п. п.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Доля отзывов с ответом, %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31,9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90,0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+58,1 п. п.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ROI мероприятий, %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354,7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</w:tr>
      <w:tr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Срок окупаемости, мес.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2,6</w:t>
            </w:r>
          </w:p>
        </w:tc>
        <w:tc>
          <w:tcPr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>
            <w:pPr>
              <w:spacing w:line="240" w:lineRule="auto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-</w:t>
            </w:r>
          </w:p>
        </w:tc>
      </w:tr>
    </w:tbl>
    <w:p>
      <w:pPr>
        <w:spacing w:after="0" w:before="0" w:line="360" w:lineRule="auto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Источник: составлено автором по данным бухгалтерской отчетности ОТЕЛЬ ГАММА (ООО) и методике оценки KPI по [14]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Прогноз выхода на положительный финансовый результат в 2026 г. расчеты не подтверждают: эффект 3 828 тыс. руб. сокращает убыток до 5 765 тыс. руб., но не перекрывает разрыв между выручкой и себестоимостью, сложившийся в 2024-2025 гг., - следовательно, маркетинговые меры образуют лишь часть программы финансового оздоровления. Контрольный контур строится по четвертому этапу SMM-модели, где KPI сверяются с целями, поставленными на первом этапе, а оптимизация ведется на уровнях контента, платформ, таргетинга и ключевых сообщений</w:t>
      </w:r>
      <w:r>
        <w:rPr>
          <w:rFonts w:ascii="Times New Roman" w:cs="Times New Roman" w:eastAsia="Times New Roman" w:hAnsi="Times New Roman"/>
          <w:sz w:val="28"/>
          <w:szCs w:val="28"/>
          <w:vertAlign w:val="superscript"/>
        </w:rPr>
        <w:t xml:space="preserve">28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Периодичность сверки - ежемесячно по охватным и поведенческим метрикам, ежеквартально по доле прямых бронирований и ADR; сохранение ER ниже 1,0 % по итогам двух кварталов служит основанием для смены рубрикации и форматов. Контроль правовой чистоты коммуникаций ведется до публикации: заявления о категории, наградах и отзывах гостей проверяются на достоверность в силу требований ФЗ № 38-ФЗ</w:t>
      </w:r>
      <w:r>
        <w:rPr>
          <w:rStyle w:val="FootnoteReference"/>
        </w:rPr>
        <w:footnoteReference w:id="29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а срок действия свидетельства о категории (3 года) фиксируется в календаре с напоминанием о повторной классификации</w:t>
      </w:r>
      <w:r>
        <w:rPr>
          <w:rStyle w:val="FootnoteReference"/>
        </w:rPr>
        <w:footnoteReference w:id="30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Скобкин связывает результативность продаж гостиничного продукта с постоянным сопоставлением плановых и фактических показателей по каждому каналу</w:t>
      </w:r>
      <w:r>
        <w:rPr>
          <w:rStyle w:val="FootnoteReference"/>
        </w:rPr>
        <w:footnoteReference w:id="31"/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и предложенная система такое сопоставление обеспечивает.</w:t>
      </w:r>
    </w:p>
    <w:p>
      <w:r>
        <w:br w:type="page"/>
      </w:r>
    </w:p>
    <w:p>
      <w:pPr>
        <w:pStyle w:val="Heading1"/>
        <w:spacing w:after="0" w:before="0" w:line="360" w:lineRule="auto"/>
        <w:jc w:val="center"/>
      </w:pPr>
      <w:r>
        <w:rPr>
          <w:b/>
          <w:bCs/>
        </w:rPr>
        <w:t xml:space="preserve">ЗАКЛЮЧЕНИЕ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Понятие «бутик-отель» правового закрепления в России не получило: система классификации, установленная постановлением Правительства РФ от 16.02.2019 № 158, оперирует одиннадцатью видами средств размещения и шестью категориями «звезд», среди которых камерный отель с индивидуальной концепцией отдельно не выделен. Формат конструируется самим предприятием - через номерной фонд, архитектурную среду, сервисную модель и гастрономическое предложение, а значит, позиционирование смещается из области формального декларирования категории в область управления впечатлением. Критерии дифференциации распадаются на объективные и проверяемые (категория, оснащение, наличие ресторана), процессные (персонализация обслуживания, скорость реакции на запрос) и символические (стиль здания, привязка к городской истории, авторская кухня). Классификация при этом сохраняет функцию якоря доверия, поскольку свидетельство действует три года и требует постоянного подтверждения соответствия, но сама по себе не объясняет гостю, почему следует выбрать конкретный отель среди равных по категории.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Инструментарий продвижения гостиничных услуг за последнее десятилетие переориентировался с оплаченных сообщений на органическое взаимодействие: SMM понимается как долгосрочная программа, включающая позиционирование, контент-планирование, аналитику и управление репутацией, и разворачивается в четыре этапа - от анализа аудитории и постановки измеримых целей до оценки эффективности и оптимизации. Концепции персонализации, вовлеченности и сообществ, сторителлинга и омниканальности задают содержательный каркас, в котором отель перестает быть рекламодателем и становится площадкой опыта. Слабое место такой модели - сложность расчета отдачи: нематериальные эффекты вроде укрепления лояльности количественной оценке поддаются плохо, что вынуждает опираться на комбинацию охватных, поведенческих и финансовых метрик. Правовой контур ограничивает коммуникацию тремя рамками: требованиями достоверности и добросовестности рекламы, привязкой заявляемой категории к подтверждающему свидетельству и необходимостью фактического соблюдения санитарных норм, без которого обещания чистоты, комфорта и качества питания превращаются в недостоверные сведения.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Диагностика ОТЕЛЬ ГАММА (ООО) выявила противоречивую картину. К сильным сторонам относятся устойчивый оборот, сохраняющийся на уровне 158-183 млн руб. в 2024-2025 гг., значительный запас денежных средств, собственный ресторанный блок, обеспеченный четырьмя кодами общественного питания, и компактный штат, позволяющий выстраивать действительно персонализированный сервис. Негативная сторона очевидна: выручка сократилась на 13,3 % за год, себестоимость продолжила расти, убыток углубился до 9 593 тыс. руб., собственный капитал за два года уменьшился почти на 16,3 млн руб., а рентабельность продаж ушла к -6,05 %. Маркетинговая причина такой динамики - неспособность удерживать цену: концепция не формализована, документально подтвержденная категория в открытых материалах не прослеживается, сообщество во «ВКонтакте» при 1 847 подписчиках демонстрирует ER всего 0,41 % при 34 публикациях за год, реакция на отзывы зафиксирована лишь в 31,9 % случаев, а карточки в агрегаторах расходятся в описании услуг питания. Гастрономический ресурс, способный стать главным носителем отличия, в коммуникациях не персонифицирован.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Предприятию целесообразно пройти классификацию через аккредитованную организацию и оформить ценностное предложение в логике сочетания практической пользы с эмоциональным вовлечением - это устраняет правовой риск заявлений о категории и дает проверяемое основание для тарифа. Второе направление - развертывание SMM-стратегии с целями по SMART, контент-планом на 12 публикаций и 20 «сторис» в месяц и разграничением функций «ВКонтакте» (охват) и «Telegram» (удержание и повторные продажи банкетов), что ориентировано на рост ER до 1,80 % и увеличение доли прямых бронирований с 14,3 % до 22,0 %. Третье - формирование персонального бренда шеф-повара с открытой кухней и двумя гастрономическими ужинами в месяц, дающее до 1 983 600 руб. дополнительной выручки и содержательный повод для регулярного контента. Синхронизация карточек в агрегаторах по единому реестру и регламент ответа на отзыв в течение 24 часов при охвате не менее 90 % обращений сокращают потери на пути к бронированию. Совокупный годовой эффект комплекса оценен в 3 827 925 руб. при затратах 1 078 900 руб., рентабельности вложений 354,7 % и окупаемости 2,6 месяца; вместе с тем расчеты показывают, что убыток сокращается до 5 765 тыс. руб., но не устраняется, - маркетинговые меры образуют лишь часть программы финансового оздоровления и требуют параллельной работы с себестоимостью.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Цель работы достигнута: сущность и критерии позиционирования бутик-отеля раскрыты, инструменты продвижения систематизированы с учетом правовых ограничений, проблемы объекта выявлены на его собственных материалах, а предложенные мероприятия обеспечены расчетом результативности и системой контрольных показателей для последующего мониторинга.</w:t>
      </w:r>
    </w:p>
    <w:p>
      <w:r>
        <w:br w:type="page"/>
      </w:r>
    </w:p>
    <w:p>
      <w:pPr>
        <w:pStyle w:val="Heading1"/>
        <w:spacing w:after="0" w:before="0" w:line="360" w:lineRule="auto"/>
        <w:jc w:val="center"/>
      </w:pPr>
      <w:r>
        <w:rPr>
          <w:b/>
          <w:bCs/>
        </w:rPr>
        <w:t xml:space="preserve">СПИСОК ИСПОЛЬЗОВАННЫХ ИСТОЧНИКОВ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Федеральный закон от 13.03.2006 № 38-ФЗ «О рекламе». — URL: http://www.kremlin.ru/acts/bank/23532 (дата обращения: 15.07.2026).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Постановление Правительства РФ от 16.02.2019 № 158 «Об утверждении Положения о классификации гостиниц». — URL: https://www.garant.ru/products/ipo/prime/doc/72076678/ (дата обращения: 18.07.2026).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Федеральный закон от 30.03.1999 № 52-ФЗ «О санитарно-эпидемиологическом благополучии населения». — URL: https://www.consultant.ru/document/cons_doc_LAW_22481/ (дата обращения: 24.06.2026).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Душкина, М. Р. Технологии рекламы и связей с общественностью в маркетинге : учебник / М. Р. Душкина. — 2025. — URL: https://urait.ru/book/tehnologii-reklamy-i-svyazey-s-obschestvennostyu-v-marketinge-448344 (дата обращения: 24.07.2026).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Шубаева, В. Г. Маркетинговые технологии в туризме : учебник / В. Г. Шубаева, И. О. Сердобольская. — 2025. — URL: https://urait.ru/book/marketingovye-tehnologii-v-turizme-495452 (дата обращения: 13.07.2026).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Синяева, И. М. Основы рекламы : учебник / И. М. Синяева, О. Н. Жильцова, Д. А. Жильцов. — 2025. — URL: https://urait.ru/book/osnovy-reklamy-489961 (дата обращения: 21.06.2026).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Скобкин, С. С. Маркетинг и продажи в гостиничном бизнесе : учебник / С. С. Скобкин. — 2026. — URL: https://urait.ru/book/marketing-i-prodazhi-v-gostinichnom-biznese-422930 (дата обращения: 27.06.2026).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 Баумгартен, Л. В. Маркетинг гостиничного предприятия : учебник / Л. В. Баумгартен. — 2026. — URL: https://urait.ru/book/marketing-gostinichnogo-predpriyatiya-432906 (дата обращения: 29.06.2026).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9. Скобкин, С. С. Основы маркетинга гостиничных услуг : учебник / С. С. Скобкин. — 2026. — URL: https://urait.ru/author-course/osnovy-marketinga-gostinichnyh-uslug-598936 (дата обращения: 16.07.2026).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10. Жильцова, О. Н. Технология интернет-маркетинга : учебник / О. Н. Жильцова. — 2025. — URL: https://urait.ru/book/tehnologiya-internet-marketinga-520553 (дата обращения: 14.07.2026).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11. Жильцова, О. Н. Технология интернет-маркетинга : учебник / О. Н. Жильцова. — 2025. — URL: https://urait.ru/book/tehnologiya-internet-marketinga-509167 (дата обращения: 07.07.2026).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12. Коль, О. Д. Маркетинг в туристской индустрии : учебник / О. Д. Коль. — 2025. — URL: https://urait.ru/book/marketing-v-turistskoy-industrii-530722 (дата обращения: 30.06.2026).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13. Жильцова, О. Н. Маркетинг территорий : учебник / О. Н. Жильцова. — 2025. — URL: https://urait.ru/author-course/marketing-territoriy-536037 (дата обращения: 03.07.2026).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14. Сысоева, Т. Л. К вопросу о формировании SMM-стратегии для организации / Т. Л. Сысоева, Д. В. Иванов // Наука и образование. — 2025. — Т. 8, № 3. — С. 18–28. — URL: https://cyberleninka.ru/article/n/k-voprosu-o-formirovanii-smm-strategii-dlya-organizatsii (дата обращения: 15.07.2026).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15. Закиров, С. А. Продвижение брендов через беговые мероприятия: маркетинговые инструменты и практики / С. А. Закиров, В. А. Гореликов // Практический маркетинг. — 2026. — № 4. — С. 346–353. — URL: https://cyberleninka.ru/article/n/prodvizhenie-brendov-cherez-begovye-meropriyatiya-marketingovye-instrumenty-i-praktiki (дата обращения: 11.08.2026).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16. Камалова, Т. А. Оптимизация маркетинговых стратегий продвижения на российском потребительском рынке / Т. А. Камалова // Прикладные экономические исследования. — 2025. — № 5. — С. 163–170. — URL: https://cyberleninka.ru/article/n/optimizatsiya-marketingovyh-strategiy-prodvizheniya-na-rossiyskom-potrebitelskom-rynke (дата обращения: 06.07.2026).</w:t>
      </w:r>
    </w:p>
    <w:p>
      <w:pPr>
        <w:spacing w:after="0" w:before="0" w:line="360" w:lineRule="auto"/>
        <w:ind w:left="0" w:right="0"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17. Погоревич, А. В. Специфика SMM-продвижения личного бренда в креативных индустриях на примере ресторанного бизнеса / А. В. Погоревич, Н. В. Выдрыч, А. С. Кошелев // Kant. — 2024. — № 4 (53). — С. 113–127. — URL: https://cyberleninka.ru/article/n/spetsifika-smm-prodvizheniya-lichnogo-brenda-v-kreativnyh-industriyah-na-primere-restorannogo-biznesa (дата обращения: 07.07.2026).</w:t>
      </w:r>
    </w:p>
    <w:sectPr>
      <w:footerReference w:type="default" r:id="rId7"/>
      <w:pgSz w:w="11906" w:h="16838" w:orient="portrait"/>
      <w:pgMar w:top="1133" w:right="566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Постановление Правительства РФ от 16.02.2019 № 158 «Об утверждении Положения о классификации гостиниц». - URL: https://www.garant.ru/products/ipo/prime/doc/72076678/ (дата обращения: 18.07.2026).</w:t>
      </w:r>
    </w:p>
  </w:footnote>
  <w:footnote w:id="2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Баумгартен, Л. В. Маркетинг гостиничного предприятия : учебник / Л. В. Баумгартен. - 2026. - URL: https://urait.ru/book/marketing-gostinichnogo-predpriyatiya-432906 (дата обращения: 29.06.2026).</w:t>
      </w:r>
    </w:p>
  </w:footnote>
  <w:footnote w:id="3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Коль, О. Д. Маркетинг в туристской индустрии : учебник / О. Д. Коль. - 2025. - URL: https://urait.ru/book/marketing-v-turistskoy-industrii-530722 (дата обращения: 30.06.2026).</w:t>
      </w:r>
    </w:p>
  </w:footnote>
  <w:footnote w:id="4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Шубаева, В. Г. Маркетинговые технологии в туризме : учебник / В. Г. Шубаева, И. О. Сердобольская. - 2025. - URL: https://urait.ru/book/marketingovye-tehnologii-v-turizme-495452 (дата обращения: 13.07.2026).</w:t>
      </w:r>
    </w:p>
  </w:footnote>
  <w:footnote w:id="5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Камалова, Т. А. Оптимизация маркетинговых стратегий продвижения на российском потребительском рынке / Т. А. Камалова // Прикладные экономические исследования. - 2025. - № 5. - С. 163–170. - URL: https://cyberleninka.ru/article/n/optimizatsiya-marketingovyh-strategiy-prodvizheniya-na-rossiyskom-potrebitelskom-rynke (дата обращения: 06.07.2026).</w:t>
      </w:r>
    </w:p>
  </w:footnote>
  <w:footnote w:id="6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Погоревич, А. В. Специфика SMM-продвижения личного бренда в креативных индустриях на примере ресторанного бизнеса / А. В. Погоревич, Н. В. Выдрыч, А. С. Кошелев // Kant. - 2024. - № 4 (53). - С. 113–127. - URL: https://cyberleninka.ru/article/n/spetsifika-smm-prodvizheniya-lichnogo-brenda-v-kreativnyh-industriyah-na-primere-restorannogo-biznesa (дата обращения: 07.07.2026).</w:t>
      </w:r>
    </w:p>
  </w:footnote>
  <w:footnote w:id="7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Скобкин, С. С. Маркетинг и продажи в гостиничном бизнесе : учебник / С. С. Скобкин. - 2026. - URL: https://urait.ru/book/marketing-i-prodazhi-v-gostinichnom-biznese-422930 (дата обращения: 27.06.2026).</w:t>
      </w:r>
    </w:p>
  </w:footnote>
  <w:footnote w:id="8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Федеральный закон от 13.03.2006 № 38-ФЗ «О рекламе». - URL: http://www.kremlin.ru/acts/bank/23532 (дата обращения: 15.07.2026).</w:t>
      </w:r>
    </w:p>
  </w:footnote>
  <w:footnote w:id="9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Синяева, И. М. Основы рекламы : учебник / И. М. Синяева, О. Н. Жильцова, Д. А. Жильцов. - 2025. - URL: https://urait.ru/book/osnovy-reklamy-489961 (дата обращения: 21.06.2026).</w:t>
      </w:r>
    </w:p>
  </w:footnote>
  <w:footnote w:id="10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Сысоева, Т. Л. К вопросу о формировании SMM-стратегии для организации / Т. Л. Сысоева, Д. В. Иванов // Наука и образование. - 2025. - Т. 8, № 3. - С. 18–28. - URL: https://cyberleninka.ru/article/n/k-voprosu-o-formirovanii-smm-strategii-dlya-organizatsii (дата обращения: 15.07.2026).</w:t>
      </w:r>
    </w:p>
  </w:footnote>
  <w:footnote w:id="11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Жильцова, О. Н. Технология интернет-маркетинга : учебник / О. Н. Жильцова. - 2025. - URL: https://urait.ru/book/tehnologiya-internet-marketinga-520553 (дата обращения: 14.07.2026).</w:t>
      </w:r>
    </w:p>
  </w:footnote>
  <w:footnote w:id="12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Закиров, С. А. Продвижение брендов через беговые мероприятия: маркетинговые инструменты и практики / С. А. Закиров, В. А. Гореликов // Практический маркетинг. - 2026. - № 4. - С. 346–353. - URL: https://cyberleninka.ru/article/n/prodvizhenie-brendov-cherez-begovye-meropriyatiya-marketingovye-instrumenty-i-praktiki (дата обращения: 11.08.2026).</w:t>
      </w:r>
    </w:p>
  </w:footnote>
  <w:footnote w:id="13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Душкина, М. Р. Технологии рекламы и связей с общественностью в маркетинге : учебник / М. Р. Душкина. - 2025. - URL: https://urait.ru/book/tehnologii-reklamy-i-svyazey-s-obschestvennostyu-v-marketinge-448344 (дата обращения: 24.07.2026).</w:t>
      </w:r>
    </w:p>
  </w:footnote>
  <w:footnote w:id="14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Федеральный закон от 13.03.2006 № 38-ФЗ «О рекламе». - URL: http://www.kremlin.ru/acts/bank/23532 (дата обращения: 15.07.2026).</w:t>
      </w:r>
    </w:p>
  </w:footnote>
  <w:footnote w:id="15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Камалова, Т. А. Оптимизация маркетинговых стратегий продвижения на российском потребительском рынке / Т. А. Камалова // Прикладные экономические исследования. - 2025. - № 5. - С. 163–170. - URL: https://cyberleninka.ru/article/n/optimizatsiya-marketingovyh-strategiy-prodvizheniya-na-rossiyskom-potrebitelskom-rynke (дата обращения: 06.07.2026).</w:t>
      </w:r>
    </w:p>
  </w:footnote>
  <w:footnote w:id="16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Постановление Правительства РФ от 16.02.2019 № 158 «Об утверждении Положения о классификации гостиниц». - URL: https://www.garant.ru/products/ipo/prime/doc/72076678/ (дата обращения: 18.07.2026).</w:t>
      </w:r>
    </w:p>
  </w:footnote>
  <w:footnote w:id="17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Федеральный закон от 30.03.1999 № 52-ФЗ «О санитарно-эпидемиологическом благополучии населения». - URL: https://www.consultant.ru/document/cons_doc_LAW_22481/ (дата обращения: 24.06.2026).</w:t>
      </w:r>
    </w:p>
  </w:footnote>
  <w:footnote w:id="18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Скобкин, С. С. Основы маркетинга гостиничных услуг : учебник / С. С. Скобкин. - 2026. - URL: https://urait.ru/author-course/osnovy-marketinga-gostinichnyh-uslug-598936 (дата обращения: 16.07.2026).</w:t>
      </w:r>
    </w:p>
  </w:footnote>
  <w:footnote w:id="19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Сысоева, Т. Л. К вопросу о формировании SMM-стратегии для организации / Т. Л. Сысоева, Д. В. Иванов // Наука и образование. - 2025. - Т. 8, № 3. - С. 18–28. - URL: https://cyberleninka.ru/article/n/k-voprosu-o-formirovanii-smm-strategii-dlya-organizatsii (дата обращения: 15.07.2026).</w:t>
      </w:r>
    </w:p>
  </w:footnote>
  <w:footnote w:id="20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Погоревич, А. В. Специфика SMM-продвижения личного бренда в креативных индустриях на примере ресторанного бизнеса / А. В. Погоревич, Н. В. Выдрыч, А. С. Кошелев // Kant. - 2024. - № 4 (53). - С. 113–127. - URL: https://cyberleninka.ru/article/n/spetsifika-smm-prodvizheniya-lichnogo-brenda-v-kreativnyh-industriyah-na-primere-restorannogo-biznesa (дата обращения: 07.07.2026).</w:t>
      </w:r>
    </w:p>
  </w:footnote>
  <w:footnote w:id="21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Камалова, Т. А. Оптимизация маркетинговых стратегий продвижения на российском потребительском рынке / Т. А. Камалова // Прикладные экономические исследования. - 2025. - № 5. - С. 163–170. - URL: https://cyberleninka.ru/article/n/optimizatsiya-marketingovyh-strategiy-prodvizheniya-na-rossiyskom-potrebitelskom-rynke (дата обращения: 06.07.2026).</w:t>
      </w:r>
    </w:p>
  </w:footnote>
  <w:footnote w:id="22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Постановление Правительства РФ от 16.02.2019 № 158 «Об утверждении Положения о классификации гостиниц». - URL: https://www.garant.ru/products/ipo/prime/doc/72076678/ (дата обращения: 18.07.2026).</w:t>
      </w:r>
    </w:p>
  </w:footnote>
  <w:footnote w:id="23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Постановление Правительства РФ от 16.02.2019 № 158 «Об утверждении Положения о классификации гостиниц». - URL: https://www.garant.ru/products/ipo/prime/doc/72076678/ (дата обращения: 18.07.2026).</w:t>
      </w:r>
    </w:p>
  </w:footnote>
  <w:footnote w:id="24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Федеральный закон от 13.03.2006 № 38-ФЗ «О рекламе». - URL: http://www.kremlin.ru/acts/bank/23532 (дата обращения: 15.07.2026).</w:t>
      </w:r>
    </w:p>
  </w:footnote>
  <w:footnote w:id="25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Камалова, Т. А. Оптимизация маркетинговых стратегий продвижения на российском потребительском рынке / Т. А. Камалова // Прикладные экономические исследования. - 2025. - № 5. - С. 163–170. - URL: https://cyberleninka.ru/article/n/optimizatsiya-marketingovyh-strategiy-prodvizheniya-na-rossiyskom-potrebitelskom-rynke (дата обращения: 06.07.2026).</w:t>
      </w:r>
    </w:p>
  </w:footnote>
  <w:footnote w:id="26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Сысоева, Т. Л. К вопросу о формировании SMM-стратегии для организации / Т. Л. Сысоева, Д. В. Иванов // Наука и образование. - 2025. - Т. 8, № 3. - С. 18–28. - URL: https://cyberleninka.ru/article/n/k-voprosu-o-formirovanii-smm-strategii-dlya-organizatsii (дата обращения: 15.07.2026).</w:t>
      </w:r>
    </w:p>
  </w:footnote>
  <w:footnote w:id="27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Погоревич, А. В. Специфика SMM-продвижения личного бренда в креативных индустриях на примере ресторанного бизнеса / А. В. Погоревич, Н. В. Выдрыч, А. С. Кошелев // Kant. - 2024. - № 4 (53). - С. 113–127. - URL: https://cyberleninka.ru/article/n/spetsifika-smm-prodvizheniya-lichnogo-brenda-v-kreativnyh-industriyah-na-primere-restorannogo-biznesa (дата обращения: 07.07.2026).</w:t>
      </w:r>
    </w:p>
  </w:footnote>
  <w:footnote w:id="28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Сысоева, Т. Л. К вопросу о формировании SMM-стратегии для организации / Т. Л. Сысоева, Д. В. Иванов // Наука и образование. - 2025. - Т. 8, № 3. - С. 18–28. - URL: https://cyberleninka.ru/article/n/k-voprosu-o-formirovanii-smm-strategii-dlya-organizatsii (дата обращения: 15.07.2026).</w:t>
      </w:r>
    </w:p>
  </w:footnote>
  <w:footnote w:id="29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Федеральный закон от 13.03.2006 № 38-ФЗ «О рекламе». - URL: http://www.kremlin.ru/acts/bank/23532 (дата обращения: 15.07.2026).</w:t>
      </w:r>
    </w:p>
  </w:footnote>
  <w:footnote w:id="30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Постановление Правительства РФ от 16.02.2019 № 158 «Об утверждении Положения о классификации гостиниц». - URL: https://www.garant.ru/products/ipo/prime/doc/72076678/ (дата обращения: 18.07.2026).</w:t>
      </w:r>
    </w:p>
  </w:footnote>
  <w:footnote w:id="31">
    <w:p>
      <w:pPr>
        <w:spacing w:line="240" w:lineRule="auto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Скобкин, С. С. Маркетинг и продажи в гостиничном бизнесе : учебник / С. С. Скобкин. - 2026. - URL: https://urait.ru/book/marketing-i-prodazhi-v-gostinichnom-biznese-422930 (дата обращения: 27.06.2026).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Times New Roman" w:cs="Times New Roman" w:eastAsia="Times New Roman" w:hAnsi="Times New Roman"/>
      <w:b/>
      <w:bCs/>
      <w:color w:val="000000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2026-09-06T14:16:32.865Z</dcterms:created>
  <dcterms:modified xsi:type="dcterms:W3CDTF">2026-09-06T14:16:32.865Z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