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jc w:val="center"/>
      </w:pPr>
      <w:r>
        <w:rPr>
          <w:rFonts w:ascii="Times New Roman" w:cs="Times New Roman" w:eastAsia="Times New Roman" w:hAnsi="Times New Roman"/>
          <w:b/>
          <w:bCs/>
          <w:sz w:val="28"/>
          <w:szCs w:val="28"/>
        </w:rPr>
        <w:t xml:space="preserve">ВЫПУСКНАЯ КВАЛИФИКАЦИОННАЯ РАБОТА</w:t>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jc w:val="center"/>
      </w:pPr>
      <w:r>
        <w:rPr>
          <w:rFonts w:ascii="Times New Roman" w:cs="Times New Roman" w:eastAsia="Times New Roman" w:hAnsi="Times New Roman"/>
          <w:b w:val="false"/>
          <w:bCs w:val="false"/>
          <w:sz w:val="28"/>
          <w:szCs w:val="28"/>
        </w:rPr>
        <w:t xml:space="preserve">на тему:</w:t>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jc w:val="center"/>
      </w:pPr>
      <w:r>
        <w:rPr>
          <w:rFonts w:ascii="Times New Roman" w:cs="Times New Roman" w:eastAsia="Times New Roman" w:hAnsi="Times New Roman"/>
          <w:b/>
          <w:bCs/>
          <w:sz w:val="28"/>
          <w:szCs w:val="28"/>
        </w:rPr>
        <w:t xml:space="preserve">«экономическое обоснование научных, методологических и практических основ управления процессами реверсивного инжиниринга в транспортной отрасли (машиностроении))»</w:t>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pPr>
        <w:spacing w:after="0" w:before="0" w:line="360" w:lineRule="auto"/>
      </w:pPr>
      <w:r>
        <w:rPr>
          <w:rFonts w:ascii="Times New Roman" w:cs="Times New Roman" w:eastAsia="Times New Roman" w:hAnsi="Times New Roman"/>
          <w:sz w:val="28"/>
          <w:szCs w:val="28"/>
        </w:rPr>
        <w:t xml:space="preserve"/>
      </w:r>
    </w:p>
    <w:p>
      <w:r>
        <w:br w:type="page"/>
      </w:r>
    </w:p>
    <w:p>
      <w:pPr>
        <w:spacing w:after="0" w:before="0" w:line="360" w:lineRule="auto"/>
        <w:jc w:val="center"/>
      </w:pPr>
      <w:r>
        <w:rPr>
          <w:rFonts w:ascii="Times New Roman" w:cs="Times New Roman" w:eastAsia="Times New Roman" w:hAnsi="Times New Roman"/>
          <w:b/>
          <w:bCs/>
          <w:sz w:val="28"/>
          <w:szCs w:val="28"/>
        </w:rPr>
        <w:t xml:space="preserve">СОДЕРЖАНИЕ</w:t>
      </w:r>
    </w:p>
    <w:sdt>
      <w:sdtPr>
        <w:alias w:val="Содержание"/>
      </w:sdtPr>
      <w:sdtContent>
        <w:p>
          <w:r>
            <w:fldChar w:fldCharType="begin" w:dirty="true"/>
            <w:instrText xml:space="preserve">TOC \h \o "1-2"</w:instrText>
            <w:fldChar w:fldCharType="separate"/>
          </w:r>
        </w:p>
        <w:p>
          <w:r>
            <w:fldChar w:fldCharType="end"/>
          </w:r>
        </w:p>
      </w:sdtContent>
    </w:sdt>
    <w:p>
      <w:r>
        <w:br w:type="page"/>
      </w:r>
    </w:p>
    <w:p>
      <w:pPr>
        <w:pStyle w:val="Heading1"/>
        <w:spacing w:after="0" w:before="0" w:line="360" w:lineRule="auto"/>
        <w:jc w:val="center"/>
      </w:pPr>
      <w:r>
        <w:rPr>
          <w:b/>
          <w:bCs/>
        </w:rPr>
        <w:t xml:space="preserve">ВВЕДЕНИЕ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Транспортное машиностроение относится к отраслям, где технологическая зависимость от внешних поставок проявляется наиболее остро: конструкция магистрального локомотива насчитывает несколько тысяч покупных позиций, часть из которых десятилетиями закупалась у ограниченного круга зарубежных изготовителей. Прерывание таких каналов после 2022 г. поставило предприятия отрасли перед задачей, для которой классические инструменты закупочной логистики не приспособлены, - воспроизвести изделие при отсутствии полного комплекта конструкторской документации, в сжатые сроки и с подтверждением исходных механических и физических свойств.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Реверсивный инжиниринг вошел в управленческую практику как ответ на эту задачу. Технически он сводится к восстановлению геометрии и свойств изделия по существующему образцу, однако экономическое содержание процесса значительно шире: предприятие принимает решение о вложении конструкторского и производственного ресурса в замещение позиции, альтернативой которому остаются поиск аналога, сохранение импортной закупки либо собственная разработка. Каждый вариант имеет свою структуру затрат, срок реализации и риск, а значит выбор между ними образует самостоятельную экономическую задачу, требующую формализованной методики.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Обрабатывающая промышленность формирует 13,6 % валовой добавленной стоимости страны, при этом средний фактический срок службы машин и оборудования держится около 23 лет, а степень износа основных фондов в 2021 г. составила 51,7 %. Парк такого возраста обслуживается изделиями, выпуск которых изготовителями прекращен, и обратное проектирование становится для ремонтных служб регулярной, а не исключительной операцией. Государственная поддержка направления также обрела масштаб: на проекты обратного инжиниринга в 2025-2027 гг. предусмотрено более 38 млрд руб. при существенном объеме частного софинансирования, а железнодорожное машиностроение прямо отнесено к приоритетным направлениям технологического суверенитета.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Актуальность исследования определяется расхождением между институциональной и финансовой поддержкой реверсивного инжиниринга, с одной стороны, и отсутствием управленческого и расчетного аппарата его применения на уровне предприятия - с другой. Экспертное сообщество фиксирует ограниченность метода: он действенен для механических изделий, но убыточен для электронных и химических, не связан с фундаментальной наукой и стратегически проигрывает оригиналу. Отсюда следует, что обратное проектирование нуждается не в расширении без разбора, а в выборочном применении по формализованным критериям, включающим класс изделия, годовую потребность, профиль риска и сопоставление полных затрат альтернативных вариантов на многолетнем горизонте. Отраслевые методики экономического обоснования, сложившиеся для транспортной инфраструктуры и цифровых систем, к специфике воспроизводства отдельного узла напрямую не применимы, что и обусловливает потребность в самостоятельной методической разработке.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Степень разработанности темы характеризуется неравномерностью: управленческие основания процессного и проектного преобразования производства проработаны глубоко, тогда как экономика обратного проектирования остается областью фрагментарных исследований. Методология радикального перепроектирования процессов заложена M. Hammer</w:t>
      </w:r>
      <w:r>
        <w:rPr>
          <w:rStyle w:val="FootnoteReference"/>
        </w:rPr>
        <w:footnoteReference w:id="1"/>
      </w:r>
      <w:r>
        <w:rPr>
          <w:rFonts w:ascii="Times New Roman" w:cs="Times New Roman" w:eastAsia="Times New Roman" w:hAnsi="Times New Roman"/>
          <w:b w:val="false"/>
          <w:bCs w:val="false"/>
          <w:sz w:val="28"/>
          <w:szCs w:val="28"/>
        </w:rPr>
        <w:t xml:space="preserve">, качественные аспекты производственных систем и статистическое управление ими разработаны W. E. Deming</w:t>
      </w:r>
      <w:r>
        <w:rPr>
          <w:rStyle w:val="FootnoteReference"/>
        </w:rPr>
        <w:footnoteReference w:id="2"/>
      </w:r>
      <w:r>
        <w:rPr>
          <w:rFonts w:ascii="Times New Roman" w:cs="Times New Roman" w:eastAsia="Times New Roman" w:hAnsi="Times New Roman"/>
          <w:b w:val="false"/>
          <w:bCs w:val="false"/>
          <w:sz w:val="28"/>
          <w:szCs w:val="28"/>
        </w:rPr>
        <w:t xml:space="preserve">, логика выявления и устранения ограничений системы предложена E. M. Goldratt</w:t>
      </w:r>
      <w:r>
        <w:rPr>
          <w:rStyle w:val="FootnoteReference"/>
        </w:rPr>
        <w:footnoteReference w:id="3"/>
      </w:r>
      <w:r>
        <w:rPr>
          <w:rFonts w:ascii="Times New Roman" w:cs="Times New Roman" w:eastAsia="Times New Roman" w:hAnsi="Times New Roman"/>
          <w:b w:val="false"/>
          <w:bCs w:val="false"/>
          <w:sz w:val="28"/>
          <w:szCs w:val="28"/>
        </w:rPr>
        <w:t xml:space="preserve">, а технологический контекст цифровой трансформации промышленности описан K. Schwab</w:t>
      </w:r>
      <w:r>
        <w:rPr>
          <w:rStyle w:val="FootnoteReference"/>
        </w:rPr>
        <w:footnoteReference w:id="4"/>
      </w:r>
      <w:r>
        <w:rPr>
          <w:rFonts w:ascii="Times New Roman" w:cs="Times New Roman" w:eastAsia="Times New Roman" w:hAnsi="Times New Roman"/>
          <w:b w:val="false"/>
          <w:bCs w:val="false"/>
          <w:sz w:val="28"/>
          <w:szCs w:val="28"/>
        </w:rPr>
        <w:t xml:space="preserve">. Применительно к российской практике теоретические основы промышленного инжиниринга систематизированы И. А. Наугольновой</w:t>
      </w:r>
      <w:r>
        <w:rPr>
          <w:rStyle w:val="FootnoteReference"/>
        </w:rPr>
        <w:footnoteReference w:id="5"/>
      </w:r>
      <w:r>
        <w:rPr>
          <w:rFonts w:ascii="Times New Roman" w:cs="Times New Roman" w:eastAsia="Times New Roman" w:hAnsi="Times New Roman"/>
          <w:b w:val="false"/>
          <w:bCs w:val="false"/>
          <w:sz w:val="28"/>
          <w:szCs w:val="28"/>
        </w:rPr>
        <w:t xml:space="preserve">, техническая методология обратного проектирования в машиностроении раскрыта А. В. Демидовым</w:t>
      </w:r>
      <w:r>
        <w:rPr>
          <w:rStyle w:val="FootnoteReference"/>
        </w:rPr>
        <w:footnoteReference w:id="6"/>
      </w:r>
      <w:r>
        <w:rPr>
          <w:rFonts w:ascii="Times New Roman" w:cs="Times New Roman" w:eastAsia="Times New Roman" w:hAnsi="Times New Roman"/>
          <w:b w:val="false"/>
          <w:bCs w:val="false"/>
          <w:sz w:val="28"/>
          <w:szCs w:val="28"/>
        </w:rPr>
        <w:t xml:space="preserve">, инструментарий промышленной политики для обеспечения технологического суверенитета с экспертной оценкой реверсивного инжиниринга проанализирован Е. А. Капогузовым</w:t>
      </w:r>
      <w:r>
        <w:rPr>
          <w:rStyle w:val="FootnoteReference"/>
        </w:rPr>
        <w:footnoteReference w:id="7"/>
      </w:r>
      <w:r>
        <w:rPr>
          <w:rFonts w:ascii="Times New Roman" w:cs="Times New Roman" w:eastAsia="Times New Roman" w:hAnsi="Times New Roman"/>
          <w:b w:val="false"/>
          <w:bCs w:val="false"/>
          <w:sz w:val="28"/>
          <w:szCs w:val="28"/>
        </w:rPr>
        <w:t xml:space="preserve">, а разграничение импортозамещения и импортоопережения обосновано В. Ю. Анисимовой</w:t>
      </w:r>
      <w:r>
        <w:rPr>
          <w:rStyle w:val="FootnoteReference"/>
        </w:rPr>
        <w:footnoteReference w:id="8"/>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Объектом исследования выступает АО «Новочеркасский электровозостроительный завод» - предприятие транспортного машиностроения, производящее магистральные электровозы и тяговое электрооборудование и относящееся к приоритетному направлению технологического суверенитета «железнодорожное машиностроение». Предметом исследования служат организационно-экономические отношения, складывающиеся при управлении процессами реверсивного инжиниринга на предприятии транспортного машиностроения, и методическое обеспечение экономического обоснования таких проектов.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Цель работы состоит в экономическом обосновании научных, методологических и практических основ управления процессами реверсивного инжиниринга применительно к предприятию транспортного машиностроения и в разработке организационно-экономического механизма, обеспечивающего отбор и реализацию проектов обратного проектирования по формализованным критериям.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Достижение цели потребовало решения девяти задач: изучить экономическую сущность и содержание реверсивного инжиниринга в соотношении с реинжинирингом бизнес-процессов и промышленным инжинирингом; определить место реверсивного инжиниринга в системе импортозамещения и импортоопережения как инструмента технологического суверенитета; систематизировать методические подходы к экономической оценке эффективности инжиниринговых и инфраструктурных проектов в транспортном машиностроении; дать организационно-экономическую характеристику предприятия и установить его позицию в системе приоритетных направлений технологического суверенитета; проанализировать износ основных фондов, импортозависимость узлов и практику применения технологий реверсивного инжиниринга на предприятии; оценить сложившийся организационно-экономический механизм управления инжиниринговыми проектами и выявить проблемы обратного проектирования; разработать организационно-экономический механизм управления проектами реверсивного инжиниринга; сформировать методику экономической оценки целесообразности реверсивного инжиниринга в сравнении с закупкой оригинала или аналога; рассчитать экономическую эффективность внедрения предложенного механизма.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Методическую основу составили системный и процессно-проектный подходы, сравнительный анализ, контент-анализ нормативных правовых актов и научной литературы, структурно-функциональный метод, балльно-индексная и экспертная оценка, анализ затрат и выгод, дисконтирование денежных потоков, сценарный анализ устойчивости результата, а также группировка и табличное представление данных управленческой и конструкторско-технологической отчетности.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Теоретическая значимость состоит в разграничении понятий реверсивного инжиниринга, реинжиниринга бизнес-процессов и промышленного инжиниринга по объекту преобразования, результату и измерителю эффекта, а также в построении матрицы целесообразности обратного проектирования по классам изделий. Практическая значимость определяется применимостью предложенного механизма, четырехвариантной методики выбора и трехуровневой системы показателей в деятельности предприятий транспортного машиностроения, располагающих собственным конструкторским и механообрабатывающим переделом.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Работа включает введение, три главы по три параграфа, заключение и список использованных источников; расчеты и аналитические материалы представлены в одиннадцати таблицах.</w:t>
      </w:r>
    </w:p>
    <w:p>
      <w:r>
        <w:br w:type="page"/>
      </w:r>
    </w:p>
    <w:p>
      <w:pPr>
        <w:pStyle w:val="Heading1"/>
        <w:spacing w:after="0" w:before="0" w:line="360" w:lineRule="auto"/>
        <w:jc w:val="center"/>
      </w:pPr>
      <w:r>
        <w:rPr>
          <w:b/>
          <w:bCs/>
        </w:rPr>
        <w:t xml:space="preserve">ГЛАВА 1. ТЕОРЕТИЧЕСКИЕ И МЕТОДОЛОГИЧЕСКИЕ ОСНОВЫ УПРАВЛЕНИЯ ПРОЦЕССАМИ РЕВЕРСИВНОГО ИНЖИНИРИНГА В МАШИНОСТРОЕНИИ</w:t>
      </w:r>
    </w:p>
    <w:p>
      <w:pPr>
        <w:pStyle w:val="Heading2"/>
        <w:spacing w:after="0" w:before="0" w:line="360" w:lineRule="auto"/>
        <w:ind w:left="0" w:right="0" w:firstLine="709"/>
        <w:jc w:val="both"/>
      </w:pPr>
      <w:r>
        <w:rPr>
          <w:b/>
          <w:bCs/>
        </w:rPr>
        <w:t xml:space="preserve">1.1. Экономическая сущность и содержание реверсивного инжиниринга: соотношение с реинжинирингом бизнес-процессов и промышленным инжинирингом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Терминологическая неопределенность вокруг реверсивного инжиниринга сложилась исторически: в отечественной литературе одним и тем же корнем «инжиниринг» обозначают по меньшей мере три разнородных объекта управления - техническую реконструкцию изделия по готовому образцу, радикальное перепроектирование управленческих процедур и проектирование производственных систем в целом. Разграничение этих понятий имеет не филологическое, а вполне прикладное значение, поскольку от того, что считается объектом управления - деталь, процесс или предприятие, - зависят и состав затрат, и методика расчета эффекта, и горизонт окупаемости.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Реверс-инжиниринг, как его определяет А. В. Демидов, нередко сводят к простому копированию, тогда как содержательно он представляет восстановление геометрии, физических и механических свойств изделия при отсутствии полной конструкторской документации </w:t>
      </w:r>
      <w:r>
        <w:rPr>
          <w:rStyle w:val="FootnoteReference"/>
        </w:rPr>
        <w:footnoteReference w:id="9"/>
      </w:r>
      <w:r>
        <w:rPr>
          <w:rFonts w:ascii="Times New Roman" w:cs="Times New Roman" w:eastAsia="Times New Roman" w:hAnsi="Times New Roman"/>
          <w:b w:val="false"/>
          <w:bCs w:val="false"/>
          <w:sz w:val="28"/>
          <w:szCs w:val="28"/>
        </w:rPr>
        <w:t xml:space="preserve">. Прикладных направлений два: восстановление разрушенной или вышедшей из строя детали с сохранением исходных характеристик в сжатые сроки и целенаправленное изменение геометрии для улучшения механических свойств, облегчения производства и сокращения цикла изготовления, что особенно востребовано для деталей сложной геометрии, где перепроектирование снижает затраты без потери качества </w:t>
      </w:r>
      <w:r>
        <w:rPr>
          <w:rFonts w:ascii="Times New Roman" w:cs="Times New Roman" w:eastAsia="Times New Roman" w:hAnsi="Times New Roman"/>
          <w:sz w:val="28"/>
          <w:szCs w:val="28"/>
          <w:vertAlign w:val="superscript"/>
        </w:rPr>
        <w:t xml:space="preserve">9</w:t>
      </w:r>
      <w:r>
        <w:rPr>
          <w:rFonts w:ascii="Times New Roman" w:cs="Times New Roman" w:eastAsia="Times New Roman" w:hAnsi="Times New Roman"/>
          <w:b w:val="false"/>
          <w:bCs w:val="false"/>
          <w:sz w:val="28"/>
          <w:szCs w:val="28"/>
        </w:rPr>
        <w:t xml:space="preserve">. Уже в этой формулировке заложена экономическая двойственность: первое направление ближе к ремонтно-восстановительной деятельности и оценивается через предотвращенные простои, второе - к инновационной, и его результат измеряется снижением себестоимости и трудоемкости.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Процессная структура реверсивного инжиниринга включает шесть последовательных этапов, причем первый из них - сбор и анализ информации (чертежи, 3D-модели, схемы, технические требования и задания) - забирает большую часть общего времени, и от его качества зависит как трудоемкость последующих шагов, так и принципиальная реализуемость проекта </w:t>
      </w:r>
      <w:r>
        <w:rPr>
          <w:rFonts w:ascii="Times New Roman" w:cs="Times New Roman" w:eastAsia="Times New Roman" w:hAnsi="Times New Roman"/>
          <w:sz w:val="28"/>
          <w:szCs w:val="28"/>
          <w:vertAlign w:val="superscript"/>
        </w:rPr>
        <w:t xml:space="preserve">9</w:t>
      </w:r>
      <w:r>
        <w:rPr>
          <w:rFonts w:ascii="Times New Roman" w:cs="Times New Roman" w:eastAsia="Times New Roman" w:hAnsi="Times New Roman"/>
          <w:b w:val="false"/>
          <w:bCs w:val="false"/>
          <w:sz w:val="28"/>
          <w:szCs w:val="28"/>
        </w:rPr>
        <w:t xml:space="preserve">. Второй этап, получение модели изделия, допускает разные по капиталоемкости решения: ручной обмер мерительным инструментом (штангенциркуль, микрометр, глубиномер, нутромер) дает высокую точность при минимальных временных затратах для простой геометрии, тогда как сложные поверхности требуют иных средств. Такая вариативность технологического маршрута и превращает выбор способа реверсивного проектирования в самостоятельную экономическую задачу, а не в чисто инженерную.</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Иную природу имеет реинжиниринг бизнес-процессов, основоположниками радикальной версии которого И. А. Наугольнова называет М. Хаммера и Дж. Чампи (1993 г.) </w:t>
      </w:r>
      <w:r>
        <w:rPr>
          <w:rStyle w:val="FootnoteReference"/>
        </w:rPr>
        <w:footnoteReference w:id="10"/>
      </w:r>
      <w:r>
        <w:rPr>
          <w:rFonts w:ascii="Times New Roman" w:cs="Times New Roman" w:eastAsia="Times New Roman" w:hAnsi="Times New Roman"/>
          <w:b w:val="false"/>
          <w:bCs w:val="false"/>
          <w:sz w:val="28"/>
          <w:szCs w:val="28"/>
        </w:rPr>
        <w:t xml:space="preserve">. Здесь предмет преобразования - не изделие, а последовательность операций и связей внутри организации; в эволюции промышленного инжиниринга автор выделяет четыре этапа, от раннего индустриального периода через массовое производство (конвейер Г. Форда и стандартизация начала XX в.) и гибкое производство с JIT, Lean и Six Sigma в 1980-1990-е гг. к цифровой трансформации с промышленным интернетом вещей, аналитикой данных, цифровыми двойниками и искусственным интеллектом </w:t>
      </w:r>
      <w:r>
        <w:rPr>
          <w:rFonts w:ascii="Times New Roman" w:cs="Times New Roman" w:eastAsia="Times New Roman" w:hAnsi="Times New Roman"/>
          <w:sz w:val="28"/>
          <w:szCs w:val="28"/>
          <w:vertAlign w:val="superscript"/>
        </w:rPr>
        <w:t xml:space="preserve">10</w:t>
      </w:r>
      <w:r>
        <w:rPr>
          <w:rFonts w:ascii="Times New Roman" w:cs="Times New Roman" w:eastAsia="Times New Roman" w:hAnsi="Times New Roman"/>
          <w:b w:val="false"/>
          <w:bCs w:val="false"/>
          <w:sz w:val="28"/>
          <w:szCs w:val="28"/>
        </w:rPr>
        <w:t xml:space="preserve">. Промышленный инжиниринг при таком прочтении охватывает проектирование, оптимизацию и управление производственными процессами и системами, а его ключевыми компонентами, влияющими на результативность бизнеса, выступают оптимизация процессов, управление ресурсами и своевременное проведение технологических изменений </w:t>
      </w:r>
      <w:r>
        <w:rPr>
          <w:rFonts w:ascii="Times New Roman" w:cs="Times New Roman" w:eastAsia="Times New Roman" w:hAnsi="Times New Roman"/>
          <w:sz w:val="28"/>
          <w:szCs w:val="28"/>
          <w:vertAlign w:val="superscript"/>
        </w:rPr>
        <w:t xml:space="preserve">10</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Практика подтверждает разведение объектов. В автосервисе, где реинжиниринг применялся к процессам приема заявок и закупок, узловыми проблемами оказались неэффективное взаимодействие с клиентами, потери времени и труда, ошибки человеческого фактора и примитивный учет с ручным вводом данных, а главным затруднением - планирование закупок при длительных сроках доставки </w:t>
      </w:r>
      <w:r>
        <w:rPr>
          <w:rStyle w:val="FootnoteReference"/>
        </w:rPr>
        <w:footnoteReference w:id="11"/>
      </w:r>
      <w:r>
        <w:rPr>
          <w:rFonts w:ascii="Times New Roman" w:cs="Times New Roman" w:eastAsia="Times New Roman" w:hAnsi="Times New Roman"/>
          <w:b w:val="false"/>
          <w:bCs w:val="false"/>
          <w:sz w:val="28"/>
          <w:szCs w:val="28"/>
        </w:rPr>
        <w:t xml:space="preserve">. Показательно, что тот же рынок насыщен копиями оригинальных автозапчастей, выпускаемыми частными компаниями помимо автопроизводителей </w:t>
      </w:r>
      <w:r>
        <w:rPr>
          <w:rFonts w:ascii="Times New Roman" w:cs="Times New Roman" w:eastAsia="Times New Roman" w:hAnsi="Times New Roman"/>
          <w:sz w:val="28"/>
          <w:szCs w:val="28"/>
          <w:vertAlign w:val="superscript"/>
        </w:rPr>
        <w:t xml:space="preserve">11</w:t>
      </w:r>
      <w:r>
        <w:rPr>
          <w:rFonts w:ascii="Times New Roman" w:cs="Times New Roman" w:eastAsia="Times New Roman" w:hAnsi="Times New Roman"/>
          <w:b w:val="false"/>
          <w:bCs w:val="false"/>
          <w:sz w:val="28"/>
          <w:szCs w:val="28"/>
        </w:rPr>
        <w:t xml:space="preserve">, - то есть результат реверсивного инжиниринга изделия и реинжиниринг процессов сосуществуют в одной отрасли, оставаясь разными предметами управления.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Смешение терминов усугубляется тем, что современный инструментарий описания процессов обслуживает обе области. Стандартизированные нотации BPMN и SIPOC обеспечивают согласованность коммуникации между заинтересованными сторонами, а наряду с ними применяются UML-диаграммы, ER-диаграммы, DMN, IDEF, SysML, SADT, BPEL </w:t>
      </w:r>
      <w:r>
        <w:rPr>
          <w:rStyle w:val="FootnoteReference"/>
        </w:rPr>
        <w:footnoteReference w:id="12"/>
      </w:r>
      <w:r>
        <w:rPr>
          <w:rFonts w:ascii="Times New Roman" w:cs="Times New Roman" w:eastAsia="Times New Roman" w:hAnsi="Times New Roman"/>
          <w:b w:val="false"/>
          <w:bCs w:val="false"/>
          <w:sz w:val="28"/>
          <w:szCs w:val="28"/>
        </w:rPr>
        <w:t xml:space="preserve">. Понимание бизнес-процесса, по наблюдению М. В. Курниковой и соавторов, эволюционировало от набора простых процедур к сложной системе, требующей междисциплинарного подхода, при котором проектирование и инженерные изыскания встраиваются в промышленный инжиниринг как его неотъемлемая часть </w:t>
      </w:r>
      <w:r>
        <w:rPr>
          <w:rFonts w:ascii="Times New Roman" w:cs="Times New Roman" w:eastAsia="Times New Roman" w:hAnsi="Times New Roman"/>
          <w:sz w:val="28"/>
          <w:szCs w:val="28"/>
          <w:vertAlign w:val="superscript"/>
        </w:rPr>
        <w:t xml:space="preserve">12</w:t>
      </w:r>
      <w:r>
        <w:rPr>
          <w:rFonts w:ascii="Times New Roman" w:cs="Times New Roman" w:eastAsia="Times New Roman" w:hAnsi="Times New Roman"/>
          <w:b w:val="false"/>
          <w:bCs w:val="false"/>
          <w:sz w:val="28"/>
          <w:szCs w:val="28"/>
        </w:rPr>
        <w:t xml:space="preserve">. Отсюда следует важный для темы вывод: техническое восстановление изделия и управленческое перепроектирование смыкаются на уровне модельного аппарата, хотя объекты преобразования остаются различными.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Опасность механического переноса управленческих методик на техническую задачу описана В. И. Зарубиным и соавторами: применение исключительно процессного подхода ведет к риску автоматизации заведомо неэффективных процессов, тогда как опора только на проектный подход порождает «силосный эффект» и рассогласование инициатив между собой </w:t>
      </w:r>
      <w:r>
        <w:rPr>
          <w:rStyle w:val="FootnoteReference"/>
        </w:rPr>
        <w:footnoteReference w:id="13"/>
      </w:r>
      <w:r>
        <w:rPr>
          <w:rFonts w:ascii="Times New Roman" w:cs="Times New Roman" w:eastAsia="Times New Roman" w:hAnsi="Times New Roman"/>
          <w:b w:val="false"/>
          <w:bCs w:val="false"/>
          <w:sz w:val="28"/>
          <w:szCs w:val="28"/>
        </w:rPr>
        <w:t xml:space="preserve">. Сбалансированным решением авторы считают процессно-проектный подход, разворачиваемый на стратегическом, тактическом и операционном уровнях управления, с двухуровневой системой измерения результативности - зрелость сквозных процессов и эффективность отдельных цифровых инициатив </w:t>
      </w:r>
      <w:r>
        <w:rPr>
          <w:rFonts w:ascii="Times New Roman" w:cs="Times New Roman" w:eastAsia="Times New Roman" w:hAnsi="Times New Roman"/>
          <w:sz w:val="28"/>
          <w:szCs w:val="28"/>
          <w:vertAlign w:val="superscript"/>
        </w:rPr>
        <w:t xml:space="preserve">13</w:t>
      </w:r>
      <w:r>
        <w:rPr>
          <w:rFonts w:ascii="Times New Roman" w:cs="Times New Roman" w:eastAsia="Times New Roman" w:hAnsi="Times New Roman"/>
          <w:b w:val="false"/>
          <w:bCs w:val="false"/>
          <w:sz w:val="28"/>
          <w:szCs w:val="28"/>
        </w:rPr>
        <w:t xml:space="preserve">. Для реверсивного инжиниринга такая конструкция подходит буквально: каждый воспроизводимый узел образует отдельный проект с собственным сроком и бюджетом, а совокупность проектов должна опираться на единый устойчивый процесс - от отбора номенклатуры до постановки изделия на производство.</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Отдельный содержательный признак, отделяющий реверсивный инжиниринг от реинжиниринга, - его результат материализуется в документе по стандартизации. Федеральный закон от 29.06.2015 № 162-ФЗ относит к документам национальной системы стандартизации национальные и предварительные национальные стандарты, правила и рекомендации по стандартизации, информационно-технические справочники, технические спецификации, а также стандарты организаций, включая технические условия, зарегистрированные в Федеральном информационном фонде стандартов </w:t>
      </w:r>
      <w:r>
        <w:rPr>
          <w:rStyle w:val="FootnoteReference"/>
        </w:rPr>
        <w:footnoteReference w:id="14"/>
      </w:r>
      <w:r>
        <w:rPr>
          <w:rFonts w:ascii="Times New Roman" w:cs="Times New Roman" w:eastAsia="Times New Roman" w:hAnsi="Times New Roman"/>
          <w:b w:val="false"/>
          <w:bCs w:val="false"/>
          <w:sz w:val="28"/>
          <w:szCs w:val="28"/>
        </w:rPr>
        <w:t xml:space="preserve">. Объектами стандартизации закон признает продукцию, процессы, терминологию, исследования и методы испытаний, маркировку и процедуры оценки соответствия </w:t>
      </w:r>
      <w:r>
        <w:rPr>
          <w:rFonts w:ascii="Times New Roman" w:cs="Times New Roman" w:eastAsia="Times New Roman" w:hAnsi="Times New Roman"/>
          <w:sz w:val="28"/>
          <w:szCs w:val="28"/>
          <w:vertAlign w:val="superscript"/>
        </w:rPr>
        <w:t xml:space="preserve">14</w:t>
      </w:r>
      <w:r>
        <w:rPr>
          <w:rFonts w:ascii="Times New Roman" w:cs="Times New Roman" w:eastAsia="Times New Roman" w:hAnsi="Times New Roman"/>
          <w:b w:val="false"/>
          <w:bCs w:val="false"/>
          <w:sz w:val="28"/>
          <w:szCs w:val="28"/>
        </w:rPr>
        <w:t xml:space="preserve">; воспроизведенная деталь без комплекта технических условий и подтвержденных методов испытаний остается опытным образцом, а не товарной позицией, что прямо влияет на момент возникновения денежного потока по проекту.</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Сопоставление трех рассматриваемых категорий по объекту, результату и способу измерения экономического эффекта приведено в таблице 1.</w:t>
      </w:r>
    </w:p>
    <w:p>
      <w:pPr>
        <w:spacing w:after="0" w:before="0" w:line="360" w:lineRule="auto"/>
        <w:jc w:val="center"/>
      </w:pPr>
      <w:r>
        <w:rPr>
          <w:rFonts w:ascii="Times New Roman" w:cs="Times New Roman" w:eastAsia="Times New Roman" w:hAnsi="Times New Roman"/>
          <w:sz w:val="28"/>
          <w:szCs w:val="28"/>
        </w:rPr>
        <w:t xml:space="preserve">Таблица 1 - Разграничение реверсивного инжиниринга, реинжиниринга бизнес-процессов и промышленного инжиниринга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Признак сравнения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Реверсивный инжиниринг изделия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Реинжиниринг бизнес-процессов</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Промышленный инжиниринг</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Объект преобразования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Деталь, узел, агрегат без документации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Последовательность операций и связей в организации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Производственная система предприятия в целом</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Результат</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Конструкторская документация, технические условия, прототип</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Перепроектированный регламент, автоматизированная процедура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Оптимизированная система процессов и ресурсов</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Базовый инструментарий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Обмер, 3D-сканирование, CAD-моделирование</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BPMN, SIPOC, UML, IDEF, DMN</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Lean, Six Sigma, ABC-метод, цифровые двойники, MES</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Измеритель эффекта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Экономия против цены оригинала, предотвращенный простой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Сокращение цикла операции, снижение числа ошибок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Производительность, ресурсоемкость, зрелость процессов</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Горизонт получения эффекта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Краткосрочный и среднесрочный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Среднесрочный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Долгосрочный</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Уровень управления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Проектный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Процессный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Стратегический</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[30], [24], [26], [4]</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Практическая ценность такого разграничения проявляется в структуре затрат: у реверсивного проекта преобладают единовременные вложения в обмер, моделирование, изготовление и испытание образца, тогда как реинжиниринг процессов дает преимущественно эксплуатационную экономию, распределенную по времени. Смешение двух логик в одном расчете искажает и срок окупаемости, и оценку риска.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Экономическое содержание реверсивного инжиниринга раскрывается через перечень преимуществ, выходящих за рамки простого воспроизводства образца: улучшение качества и функциональности изделия, сокращение затрат на разработку, снижение зависимости от импорта и появление возможности конкурировать на рынке </w:t>
      </w:r>
      <w:r>
        <w:rPr>
          <w:rStyle w:val="FootnoteReference"/>
        </w:rPr>
        <w:footnoteReference w:id="15"/>
      </w:r>
      <w:r>
        <w:rPr>
          <w:rFonts w:ascii="Times New Roman" w:cs="Times New Roman" w:eastAsia="Times New Roman" w:hAnsi="Times New Roman"/>
          <w:b w:val="false"/>
          <w:bCs w:val="false"/>
          <w:sz w:val="28"/>
          <w:szCs w:val="28"/>
        </w:rPr>
        <w:t xml:space="preserve">. Ключевой управленческой задачей при этом остается получение прототипа в предельно сжатые сроки, что требует одновременно значительного объема знаний и широкой номенклатуры оборудования, - именно ресурсная обеспеченность, а не наличие образца, чаще всего лимитирует проект.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Институциональное закрепление инжиниринга как самостоятельного вида деятельности дает Федеральный закон от 31.12.2014 № 488-ФЗ, статья 9.1 которого устанавливает меры стимулирования инжиниринговой деятельности </w:t>
      </w:r>
      <w:r>
        <w:rPr>
          <w:rStyle w:val="FootnoteReference"/>
        </w:rPr>
        <w:footnoteReference w:id="16"/>
      </w:r>
      <w:r>
        <w:rPr>
          <w:rFonts w:ascii="Times New Roman" w:cs="Times New Roman" w:eastAsia="Times New Roman" w:hAnsi="Times New Roman"/>
          <w:b w:val="false"/>
          <w:bCs w:val="false"/>
          <w:sz w:val="28"/>
          <w:szCs w:val="28"/>
        </w:rPr>
        <w:t xml:space="preserve">. Иными словами, инжиниринг рассматривается государством не как вспомогательная функция проектирования, а как объект промышленной политики со своим набором инструментов поддержки; это обстоятельство переводит вопрос об экономической природе реверсивного инжиниринга из внутрифирменной плоскости в плоскость отраслевого регулирования, где предприятие выступает получателем мер стимулирования и одновременно носителем обязательств по достижению заявленных технологических результатов.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Существенным ограничителем выступают правовые рамки воспроизведения чужих технических решений. Статья 14.5 Федерального закона от 26.07.2006 № 135-ФЗ запрещает недобросовестную конкуренцию, связанную с использованием результатов интеллектуальной деятельности, если такие действия способны вызвать смешение с деятельностью конкурента либо нанести ущерб его деловой репутации, а статья 4 того же закона трактует недобросовестную конкуренцию широко - как любые действия, противоречащие законодательству, обычаям делового оборота, требованиям добропорядочности, разумности и справедливости и причинившие или способные причинить убытки другим субъектам </w:t>
      </w:r>
      <w:r>
        <w:rPr>
          <w:rStyle w:val="FootnoteReference"/>
        </w:rPr>
        <w:footnoteReference w:id="17"/>
      </w:r>
      <w:r>
        <w:rPr>
          <w:rFonts w:ascii="Times New Roman" w:cs="Times New Roman" w:eastAsia="Times New Roman" w:hAnsi="Times New Roman"/>
          <w:b w:val="false"/>
          <w:bCs w:val="false"/>
          <w:sz w:val="28"/>
          <w:szCs w:val="28"/>
        </w:rPr>
        <w:t xml:space="preserve">. Отсюда вытекает обязательный для методики элемент: патентно-правовая экспертиза воспроизводимого изделия должна выполняться до начала обмера, поскольку ее отрицательный результат обнуляет весь последующий денежный поток проекта.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Смежный контур ограничений задает внешнеторговое регулирование. Федеральный закон от 08.12.2003 № 164-ФЗ определяет принципы государственного регулирования внешнеторговой деятельности и торговой политики </w:t>
      </w:r>
      <w:r>
        <w:rPr>
          <w:rStyle w:val="FootnoteReference"/>
        </w:rPr>
        <w:footnoteReference w:id="18"/>
      </w:r>
      <w:r>
        <w:rPr>
          <w:rFonts w:ascii="Times New Roman" w:cs="Times New Roman" w:eastAsia="Times New Roman" w:hAnsi="Times New Roman"/>
          <w:b w:val="false"/>
          <w:bCs w:val="false"/>
          <w:sz w:val="28"/>
          <w:szCs w:val="28"/>
        </w:rPr>
        <w:t xml:space="preserve">, а реверсивный инжиниринг по своей экономической функции замещает импортную поставку, то есть его целесообразность всегда оценивается относительно альтернативы - сохраняющегося или прерванного канала закупки оригинала. Экономическая же природа самой альтернативы описана в исследованиях инжиниринговых проектов ресурсных отраслей: уход зарубежных отраслевых партнеров, высокая импортозависимость и отсутствие современных видов технологий и оборудования на различных этапах производственного цикла снижают эффективность проектов, а в отдельных случаях приводят к их закрытию и потере понесенных инвестиций </w:t>
      </w:r>
      <w:r>
        <w:rPr>
          <w:rStyle w:val="FootnoteReference"/>
        </w:rPr>
        <w:footnoteReference w:id="19"/>
      </w:r>
      <w:r>
        <w:rPr>
          <w:rFonts w:ascii="Times New Roman" w:cs="Times New Roman" w:eastAsia="Times New Roman" w:hAnsi="Times New Roman"/>
          <w:b w:val="false"/>
          <w:bCs w:val="false"/>
          <w:sz w:val="28"/>
          <w:szCs w:val="28"/>
        </w:rPr>
        <w:t xml:space="preserve">. Реализация инжиниринговых проектов позволяет компаниям восполнить технологический арсенал и сформировать основу технологического суверенитета отрасли </w:t>
      </w:r>
      <w:r>
        <w:rPr>
          <w:rFonts w:ascii="Times New Roman" w:cs="Times New Roman" w:eastAsia="Times New Roman" w:hAnsi="Times New Roman"/>
          <w:sz w:val="28"/>
          <w:szCs w:val="28"/>
          <w:vertAlign w:val="superscript"/>
        </w:rPr>
        <w:t xml:space="preserve">19</w:t>
      </w:r>
      <w:r>
        <w:rPr>
          <w:rFonts w:ascii="Times New Roman" w:cs="Times New Roman" w:eastAsia="Times New Roman" w:hAnsi="Times New Roman"/>
          <w:b w:val="false"/>
          <w:bCs w:val="false"/>
          <w:sz w:val="28"/>
          <w:szCs w:val="28"/>
        </w:rPr>
        <w:t xml:space="preserve">, причем набор влияющих на такие проекты факторов различной природы и управляемости требует особых подходов к управлению - тезис, прямо переносимый на проекты воспроизводства узлов подвижного состава.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Сложение перечисленных признаков дает рабочее определение, используемое далее: реверсивный инжиниринг в транспортном машиностроении - это управляемый проектный процесс восстановления либо целенаправленной модификации конструкторско-технологической документации и свойств изделия по существующему образцу, завершающийся постановкой изделия на производство при подтвержденном соответствии документам по стандартизации и отсутствии правовых препятствий. От реинжиниринга бизнес-процессов его отделяет объект - изделие, а не процедура; от промышленного инжиниринга - масштаб и горизонт, поскольку речь идет о единичном узле, а не о системе предприятия. При этом управленческое обеспечение реверсивных проектов заимствуется именно из процессно-проектной методологии, а экономический смысл каждого проекта определяется сопоставлением затрат на воспроизводство с ценой и доступностью оригинала.</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1.2. Реверсивный инжиниринг как инструмент технологического суверенитета: место в системе импортозамещения и импортоопережения промышленности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Указ Президента РФ № 309 от 07.05.2024 возвел технологическое лидерство в ранг национальных целей, а технологический суверенитет закреплен в Концепции технологического развития на период до 2030 г. </w:t>
      </w:r>
      <w:r>
        <w:rPr>
          <w:rStyle w:val="FootnoteReference"/>
        </w:rPr>
        <w:footnoteReference w:id="20"/>
      </w:r>
      <w:r>
        <w:rPr>
          <w:rFonts w:ascii="Times New Roman" w:cs="Times New Roman" w:eastAsia="Times New Roman" w:hAnsi="Times New Roman"/>
          <w:b w:val="false"/>
          <w:bCs w:val="false"/>
          <w:sz w:val="28"/>
          <w:szCs w:val="28"/>
        </w:rPr>
        <w:t xml:space="preserve">. Тем самым воспроизводство ранее импортируемых изделий получило нормативную цель более высокого порядка, чем текущее замещение выпавших поставок, и вопрос о месте реверсивного инжиниринга в этой иерархии приобрел методологическую остроту: относится он к инструментам догоняющего типа или способен работать на опережение.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Позиции 25 российских экспертов, опрошенных Е. А. Капогузовым в апреле-сентябре 2024 г. (1 представитель органов государственной власти, 7 - деловых кругов, 15 - академических институтов, 2 - общественности), в отношении реверсивного инжиниринга оказались преимущественно благожелательными; аргументация строилась на советском опыте копирования швейцарских станков, автомобиля «Москвич» и паровозов, а также на практике Японии, Кореи и Китая </w:t>
      </w:r>
      <w:r>
        <w:rPr>
          <w:rFonts w:ascii="Times New Roman" w:cs="Times New Roman" w:eastAsia="Times New Roman" w:hAnsi="Times New Roman"/>
          <w:sz w:val="28"/>
          <w:szCs w:val="28"/>
          <w:vertAlign w:val="superscript"/>
        </w:rPr>
        <w:t xml:space="preserve">20</w:t>
      </w:r>
      <w:r>
        <w:rPr>
          <w:rFonts w:ascii="Times New Roman" w:cs="Times New Roman" w:eastAsia="Times New Roman" w:hAnsi="Times New Roman"/>
          <w:b w:val="false"/>
          <w:bCs w:val="false"/>
          <w:sz w:val="28"/>
          <w:szCs w:val="28"/>
        </w:rPr>
        <w:t xml:space="preserve">. Государственная поддержка институционализирована: правительство способствует созданию центров реверсивного инжиниринга при участии Агентства технологического развития, а на проекты обратного инжиниринга в 2025-2027 гг. выделяется более 38 млрд руб. при существенном объеме частного софинансирования </w:t>
      </w:r>
      <w:r>
        <w:rPr>
          <w:rFonts w:ascii="Times New Roman" w:cs="Times New Roman" w:eastAsia="Times New Roman" w:hAnsi="Times New Roman"/>
          <w:sz w:val="28"/>
          <w:szCs w:val="28"/>
          <w:vertAlign w:val="superscript"/>
        </w:rPr>
        <w:t xml:space="preserve">20</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Вместе с тем экспертное сообщество фиксирует и обратную сторону. Реверсивный инжиниринг не связан с фундаментальной наукой, стратегически любая копия уступает оригиналу, а сама траектория оценивается как тупиковая с точки зрения долгосрочного развития; действенен он преимущественно для механических изделий и ограниченно применим в химических и биохимических технологиях, медицине </w:t>
      </w:r>
      <w:r>
        <w:rPr>
          <w:rFonts w:ascii="Times New Roman" w:cs="Times New Roman" w:eastAsia="Times New Roman" w:hAnsi="Times New Roman"/>
          <w:sz w:val="28"/>
          <w:szCs w:val="28"/>
          <w:vertAlign w:val="superscript"/>
        </w:rPr>
        <w:t xml:space="preserve">20</w:t>
      </w:r>
      <w:r>
        <w:rPr>
          <w:rFonts w:ascii="Times New Roman" w:cs="Times New Roman" w:eastAsia="Times New Roman" w:hAnsi="Times New Roman"/>
          <w:b w:val="false"/>
          <w:bCs w:val="false"/>
          <w:sz w:val="28"/>
          <w:szCs w:val="28"/>
        </w:rPr>
        <w:t xml:space="preserve">. Границы экономической целесообразности иллюстрирует пример из Тюменской области: себестоимость производства колпачков для кетчупа и майонеза оказалась в 15 раз выше китайской, и бизнес свернул проект </w:t>
      </w:r>
      <w:r>
        <w:rPr>
          <w:rFonts w:ascii="Times New Roman" w:cs="Times New Roman" w:eastAsia="Times New Roman" w:hAnsi="Times New Roman"/>
          <w:sz w:val="28"/>
          <w:szCs w:val="28"/>
          <w:vertAlign w:val="superscript"/>
        </w:rPr>
        <w:t xml:space="preserve">20</w:t>
      </w:r>
      <w:r>
        <w:rPr>
          <w:rFonts w:ascii="Times New Roman" w:cs="Times New Roman" w:eastAsia="Times New Roman" w:hAnsi="Times New Roman"/>
          <w:b w:val="false"/>
          <w:bCs w:val="false"/>
          <w:sz w:val="28"/>
          <w:szCs w:val="28"/>
        </w:rPr>
        <w:t xml:space="preserve">. Отсюда следует, что технологическая воспроизводимость изделия и рентабельность его воспроизводства - независимые условия, и положительный ответ по первому не гарантирует положительного по второму.</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Терминологическую развязку предлагает В. Ю. Анисимова, разграничивая импортозамещение и импортоопережение. Импортозамещение уменьшает внешнюю зависимость через производство аналогов внутри страны, ориентируется на текущие нужды и краткосрочные цели и не предполагает значительного рывка в технологическом развитии, тогда как импортоопережение на основе инновационной технологичности подразумевает генерацию и производство новейших, не имеющих аналогов, опережающих, сквозных и прорывных технологий превосходства, которые займут ведущее место на новых рынках, сформируют ранее отсутствовавшие рыночные ниши и обеспечат конкурентные преимущества государству </w:t>
      </w:r>
      <w:r>
        <w:rPr>
          <w:rStyle w:val="FootnoteReference"/>
        </w:rPr>
        <w:footnoteReference w:id="21"/>
      </w:r>
      <w:r>
        <w:rPr>
          <w:rFonts w:ascii="Times New Roman" w:cs="Times New Roman" w:eastAsia="Times New Roman" w:hAnsi="Times New Roman"/>
          <w:b w:val="false"/>
          <w:bCs w:val="false"/>
          <w:sz w:val="28"/>
          <w:szCs w:val="28"/>
        </w:rPr>
        <w:t xml:space="preserve">. Реверсивный инжиниринг по этой классификации однозначно принадлежит первому контуру - при том, что его второе прикладное направление, изменение геометрии детали для улучшения свойств и снижения трудоемкости, создает точку перехода ко второму.</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Статистика инновационной активности подтверждает узость ресурсной базы для опережающего сценария: по итогам 2023 г. доля предприятий с инновационной активностью выросла до 16,9 %, уровень использования собственных разработок составил 14 %, тогда как инвестиции в инновации достигли рекордных за шесть лет 3,5 трлн руб. с приростом на 29,6 % к предыдущему году </w:t>
      </w:r>
      <w:r>
        <w:rPr>
          <w:rFonts w:ascii="Times New Roman" w:cs="Times New Roman" w:eastAsia="Times New Roman" w:hAnsi="Times New Roman"/>
          <w:sz w:val="28"/>
          <w:szCs w:val="28"/>
          <w:vertAlign w:val="superscript"/>
        </w:rPr>
        <w:t xml:space="preserve">21</w:t>
      </w:r>
      <w:r>
        <w:rPr>
          <w:rFonts w:ascii="Times New Roman" w:cs="Times New Roman" w:eastAsia="Times New Roman" w:hAnsi="Times New Roman"/>
          <w:b w:val="false"/>
          <w:bCs w:val="false"/>
          <w:sz w:val="28"/>
          <w:szCs w:val="28"/>
        </w:rPr>
        <w:t xml:space="preserve">. Разрыв между объемом вложений и долей собственных разработок означает, что значительная часть средств расходуется на адаптацию и воспроизводство существующих решений, то есть именно на тот тип работ, к которому относится обратное проектирование.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Материально-техническая основа обрабатывающих производств задает объективный спрос на воспроизводство снятых с производства деталей. Обрабатывающая промышленность формирует 13,6 % валовой добавленной стоимости, среднегодовая численность занятых в 2022 г. составила около 8,1 млн человек с приростом на 31 тыс. человек к 2021 г., индекс производства достиг 101,3 % в 2020 г. и 107,4 % в 2021 г., а по итогам 2022 г. снизился до 98,7 % </w:t>
      </w:r>
      <w:r>
        <w:rPr>
          <w:rStyle w:val="FootnoteReference"/>
        </w:rPr>
        <w:footnoteReference w:id="22"/>
      </w:r>
      <w:r>
        <w:rPr>
          <w:rFonts w:ascii="Times New Roman" w:cs="Times New Roman" w:eastAsia="Times New Roman" w:hAnsi="Times New Roman"/>
          <w:b w:val="false"/>
          <w:bCs w:val="false"/>
          <w:sz w:val="28"/>
          <w:szCs w:val="28"/>
        </w:rPr>
        <w:t xml:space="preserve">. Средний фактический срок службы машин и оборудования держится около 23 лет при степени износа основных фондов 51,7 % в 2021 г. </w:t>
      </w:r>
      <w:r>
        <w:rPr>
          <w:rFonts w:ascii="Times New Roman" w:cs="Times New Roman" w:eastAsia="Times New Roman" w:hAnsi="Times New Roman"/>
          <w:sz w:val="28"/>
          <w:szCs w:val="28"/>
          <w:vertAlign w:val="superscript"/>
        </w:rPr>
        <w:t xml:space="preserve">22</w:t>
      </w:r>
      <w:r>
        <w:rPr>
          <w:rFonts w:ascii="Times New Roman" w:cs="Times New Roman" w:eastAsia="Times New Roman" w:hAnsi="Times New Roman"/>
          <w:b w:val="false"/>
          <w:bCs w:val="false"/>
          <w:sz w:val="28"/>
          <w:szCs w:val="28"/>
        </w:rPr>
        <w:t xml:space="preserve">. Парк такого возраста обслуживается изделиями, которые изготовитель зачастую уже не выпускает, и обратное проектирование становится единственным способом поддержать работоспособность без полной замены агрегата.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Инновационный потенциал отраслей при этом неоднороден, что прямо влияет на выбор между воспроизводством и собственной разработкой: доля организаций, осуществляющих технологические инновации, в 2019-2021 гг. держалась в пределах 28-29 %, в производстве компьютеров, электронных и оптических изделий превысила 63 %, в производстве машин и оборудования - чуть выше 50 %, а внутренние затраты на исследования и разработки в 2021 г. составили 165,9 млрд руб. </w:t>
      </w:r>
      <w:r>
        <w:rPr>
          <w:rFonts w:ascii="Times New Roman" w:cs="Times New Roman" w:eastAsia="Times New Roman" w:hAnsi="Times New Roman"/>
          <w:sz w:val="28"/>
          <w:szCs w:val="28"/>
          <w:vertAlign w:val="superscript"/>
        </w:rPr>
        <w:t xml:space="preserve">22</w:t>
      </w:r>
      <w:r>
        <w:rPr>
          <w:rFonts w:ascii="Times New Roman" w:cs="Times New Roman" w:eastAsia="Times New Roman" w:hAnsi="Times New Roman"/>
          <w:b w:val="false"/>
          <w:bCs w:val="false"/>
          <w:sz w:val="28"/>
          <w:szCs w:val="28"/>
        </w:rPr>
        <w:t xml:space="preserve">. Свыше 30 тыс. предприятий зарегистрированы в государственной информационной системе промышленности </w:t>
      </w:r>
      <w:r>
        <w:rPr>
          <w:rFonts w:ascii="Times New Roman" w:cs="Times New Roman" w:eastAsia="Times New Roman" w:hAnsi="Times New Roman"/>
          <w:sz w:val="28"/>
          <w:szCs w:val="28"/>
          <w:vertAlign w:val="superscript"/>
        </w:rPr>
        <w:t xml:space="preserve">22</w:t>
      </w:r>
      <w:r>
        <w:rPr>
          <w:rFonts w:ascii="Times New Roman" w:cs="Times New Roman" w:eastAsia="Times New Roman" w:hAnsi="Times New Roman"/>
          <w:b w:val="false"/>
          <w:bCs w:val="false"/>
          <w:sz w:val="28"/>
          <w:szCs w:val="28"/>
        </w:rPr>
        <w:t xml:space="preserve">, что создает инфраструктурную предпосылку для кооперационного поиска исполнителей реверсивных проектов.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Отраслевая дифференциация обрабатывающих производств служит дополнительным аргументом в пользу селективного применения обратного проектирования: темпы роста отраслей в 2020 г. колебались от 87,3 % в автомобилестроении до 123 % в производстве лекарственных средств, разница составила 35,7 процентного пункта, причем замедление роста носит структурный характер, а в большинстве отраслей отсутствует средний класс промышленности - массовые конкурентоспособные производства, способные соперничать с импортерами </w:t>
      </w:r>
      <w:r>
        <w:rPr>
          <w:rStyle w:val="FootnoteReference"/>
        </w:rPr>
        <w:footnoteReference w:id="23"/>
      </w:r>
      <w:r>
        <w:rPr>
          <w:rFonts w:ascii="Times New Roman" w:cs="Times New Roman" w:eastAsia="Times New Roman" w:hAnsi="Times New Roman"/>
          <w:b w:val="false"/>
          <w:bCs w:val="false"/>
          <w:sz w:val="28"/>
          <w:szCs w:val="28"/>
        </w:rPr>
        <w:t xml:space="preserve">. Финансирование мер промышленной политики предоставляется на проектной основе, а доля бюджетных средств в среднесрочном периоде должна последовательно сокращаться в пользу внебюджетных источников </w:t>
      </w:r>
      <w:r>
        <w:rPr>
          <w:rFonts w:ascii="Times New Roman" w:cs="Times New Roman" w:eastAsia="Times New Roman" w:hAnsi="Times New Roman"/>
          <w:sz w:val="28"/>
          <w:szCs w:val="28"/>
          <w:vertAlign w:val="superscript"/>
        </w:rPr>
        <w:t xml:space="preserve">23</w:t>
      </w:r>
      <w:r>
        <w:rPr>
          <w:rFonts w:ascii="Times New Roman" w:cs="Times New Roman" w:eastAsia="Times New Roman" w:hAnsi="Times New Roman"/>
          <w:b w:val="false"/>
          <w:bCs w:val="false"/>
          <w:sz w:val="28"/>
          <w:szCs w:val="28"/>
        </w:rPr>
        <w:t xml:space="preserve"> - условие, которое переносит бремя обоснования эффективности реверсивных проектов на само предприятие.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Круг изделий, воспроизводство которых поддерживается государством, очерчен постановлением Правительства РФ от 15.04.2023 № 603 (в редакции от 06.11.2024): приоритетные направления проектов технологического суверенитета заданы через коды ОКПД2 и дополнительные критерии соответствия, причем к транспортному машиностроению отнесены авиационная промышленность (раздел 1), автомобилестроение (раздел 2) и железнодорожное машиностроение (раздел 3) </w:t>
      </w:r>
      <w:r>
        <w:rPr>
          <w:rStyle w:val="FootnoteReference"/>
        </w:rPr>
        <w:footnoteReference w:id="24"/>
      </w:r>
      <w:r>
        <w:rPr>
          <w:rFonts w:ascii="Times New Roman" w:cs="Times New Roman" w:eastAsia="Times New Roman" w:hAnsi="Times New Roman"/>
          <w:b w:val="false"/>
          <w:bCs w:val="false"/>
          <w:sz w:val="28"/>
          <w:szCs w:val="28"/>
        </w:rPr>
        <w:t xml:space="preserve">. Сопоставление классов изделий по применимости обратного проектирования и его экономической отдаче приведено в таблице 2.</w:t>
      </w:r>
    </w:p>
    <w:p>
      <w:pPr>
        <w:spacing w:after="0" w:before="0" w:line="360" w:lineRule="auto"/>
        <w:jc w:val="center"/>
      </w:pPr>
      <w:r>
        <w:rPr>
          <w:rFonts w:ascii="Times New Roman" w:cs="Times New Roman" w:eastAsia="Times New Roman" w:hAnsi="Times New Roman"/>
          <w:sz w:val="28"/>
          <w:szCs w:val="28"/>
        </w:rPr>
        <w:t xml:space="preserve">Таблица 2 - Матрица целесообразности реверсивного инжиниринга по классам изделий транспортного машиностроения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Класс изделия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Техническая воспроизводимость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Экономическая целесообразность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Приоритетный инструмент</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Механические детали простой геометрии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Высокая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Высокая при штучном и мелкосерийном спросе</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Реверсивный инжиниринг</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Детали сложной геометрии, литье, поковки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Средняя, требует сканирования и испытаний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Средняя, зависит от объема партии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Реверсивный инжиниринг с модификацией</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Электронные и оптические компоненты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Низкая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Низкая при малых партиях</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Трансфер технологий, локализация</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Химические материалы, смазки, композиты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Ограниченная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Низкая без собственной рецептуры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Собственные НИОКР</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Программно-аппаратные комплексы управления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Низкая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Отрицательная при копировании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Импортоопережение</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[21], [9], [5]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Распределение по классам показывает, что реверсивный инжиниринг работает как точечный, а не универсальный инструмент, и его встраивание в промышленную политику предприятия требует предварительной сегментации номенклатуры.</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Отраслевые стратегии подтверждают, что емкость внутреннего рынка машиностроительной продукции достаточна для окупаемости локального воспроизводства узлов: объем внутреннего рынка оборудования для пищевой и перерабатывающей промышленности в 2018 г. достиг 134 млрд руб., увеличившись на 16 % </w:t>
      </w:r>
      <w:r>
        <w:rPr>
          <w:rStyle w:val="FootnoteReference"/>
        </w:rPr>
        <w:footnoteReference w:id="25"/>
      </w:r>
      <w:r>
        <w:rPr>
          <w:rFonts w:ascii="Times New Roman" w:cs="Times New Roman" w:eastAsia="Times New Roman" w:hAnsi="Times New Roman"/>
          <w:b w:val="false"/>
          <w:bCs w:val="false"/>
          <w:sz w:val="28"/>
          <w:szCs w:val="28"/>
        </w:rPr>
        <w:t xml:space="preserve">. Логика документа применима по аналогии и к транспортному машиностроению - стратегия разработана с учетом требований законодательства о стратегическом планировании, увязана с прогнозом социально-экономического развития до 2036 г. и прогнозом научно-технологического развития до 2030 г., а органам исполнительной власти субъектов рекомендовано руководствоваться ее положениями при формировании региональных программ </w:t>
      </w:r>
      <w:r>
        <w:rPr>
          <w:rFonts w:ascii="Times New Roman" w:cs="Times New Roman" w:eastAsia="Times New Roman" w:hAnsi="Times New Roman"/>
          <w:sz w:val="28"/>
          <w:szCs w:val="28"/>
          <w:vertAlign w:val="superscript"/>
        </w:rPr>
        <w:t xml:space="preserve">25</w:t>
      </w:r>
      <w:r>
        <w:rPr>
          <w:rFonts w:ascii="Times New Roman" w:cs="Times New Roman" w:eastAsia="Times New Roman" w:hAnsi="Times New Roman"/>
          <w:b w:val="false"/>
          <w:bCs w:val="false"/>
          <w:sz w:val="28"/>
          <w:szCs w:val="28"/>
        </w:rPr>
        <w:t xml:space="preserve">. Для предприятия это означает, что реверсивный проект может опираться не только на федеральные, но и на региональные меры поддержки.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Управленческая надстройка над воспроизводством технологий описывается через инструментарий управления изменениями. А. А. Хорошевич и А. Г. Шумилин выделяют четыре подхода - предиктивный (готовые стратегии реагирования на вероятные изменения), реактивный (адаптация в режиме текущего времени проработанными инструментами), последовательный (внедрение новых процессов в рамках проектов с определенной последовательностью) и стратегический (изменения по ходу реализации стратегических инициатив с перестройкой модели управления), - и для железнодорожного транспорта предлагают применять инструменты всех четырех одновременно, с акцентом на предиктивный и реактивный </w:t>
      </w:r>
      <w:r>
        <w:rPr>
          <w:rStyle w:val="FootnoteReference"/>
        </w:rPr>
        <w:footnoteReference w:id="26"/>
      </w:r>
      <w:r>
        <w:rPr>
          <w:rFonts w:ascii="Times New Roman" w:cs="Times New Roman" w:eastAsia="Times New Roman" w:hAnsi="Times New Roman"/>
          <w:b w:val="false"/>
          <w:bCs w:val="false"/>
          <w:sz w:val="28"/>
          <w:szCs w:val="28"/>
        </w:rPr>
        <w:t xml:space="preserve">. Масштаб внешнего шока, к которому адаптируется отрасль, показателен: грузооборот железнодорожного транспорта Республики Беларусь в 2024 г. по сравнению с докризисным 2021 г. сократился на 20 %, объем перевозок - на 22 %, экспорт транспортных услуг в 2022-2023 гг. упал на 38 %, взаимные перевозки в рамках Союзного государства к 2024 г. уменьшились на 39 %, и лишь к 2024 г. появилась положительная динамика - рост грузооборота на 0,6 %, перевозок на 0,4 %, экспорта услуг на 63 % </w:t>
      </w:r>
      <w:r>
        <w:rPr>
          <w:rFonts w:ascii="Times New Roman" w:cs="Times New Roman" w:eastAsia="Times New Roman" w:hAnsi="Times New Roman"/>
          <w:sz w:val="28"/>
          <w:szCs w:val="28"/>
          <w:vertAlign w:val="superscript"/>
        </w:rPr>
        <w:t xml:space="preserve">26</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Реактивный характер большинства реверсивных проектов вытекает из природы события, их запускающего: прекращение поставки конкретной позиции. Управление рисками здесь опирается на понятийный аппарат ГОСТ Р ИСО 31000-2019, где риск трактуется как следствие влияния неопределенности на достижение поставленных целей, тогда как Федеральный закон от 27.12.2002 № 184-ФЗ «О техническом регулировании» определяет риск через вероятность причинения вреда жизни, здоровью, имуществу и окружающей среде с учетом тяжести вреда </w:t>
      </w:r>
      <w:r>
        <w:rPr>
          <w:rStyle w:val="FootnoteReference"/>
        </w:rPr>
        <w:footnoteReference w:id="27"/>
      </w:r>
      <w:r>
        <w:rPr>
          <w:rFonts w:ascii="Times New Roman" w:cs="Times New Roman" w:eastAsia="Times New Roman" w:hAnsi="Times New Roman"/>
          <w:b w:val="false"/>
          <w:bCs w:val="false"/>
          <w:sz w:val="28"/>
          <w:szCs w:val="28"/>
        </w:rPr>
        <w:t xml:space="preserve">. Двойственность трактовки существенна для транспортного машиностроения: воспроизведенная деталь несет одновременно экономический риск неокупаемости и технический риск отказа в эксплуатации, причем второй регулируется требованиями безопасности и не поддается компенсации ценой.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Ограниченность бюджетных источников выводит на первый план партнерские схемы финансирования. Классическое финансирование крупных инициатив исключительно за счет государства демонстрирует низкую результативность, тогда как государственно-частное партнерство превращается из вспомогательного финансового инструмента в центральный элемент долгосрочной региональной политики, привнося не только средства бизнеса, но и управленческий опыт с техническими решениями </w:t>
      </w:r>
      <w:r>
        <w:rPr>
          <w:rStyle w:val="FootnoteReference"/>
        </w:rPr>
        <w:footnoteReference w:id="28"/>
      </w:r>
      <w:r>
        <w:rPr>
          <w:rFonts w:ascii="Times New Roman" w:cs="Times New Roman" w:eastAsia="Times New Roman" w:hAnsi="Times New Roman"/>
          <w:b w:val="false"/>
          <w:bCs w:val="false"/>
          <w:sz w:val="28"/>
          <w:szCs w:val="28"/>
        </w:rPr>
        <w:t xml:space="preserve">. Препятствием остается региональная асимметрия: успешная практика партнерств сосредоточена в узкой группе субъектов с высоким инвестиционным потенциалом, а дотационные территории проявляют минимальную инициативу из-за дефицита стратегического видения и методологии встраивания партнерств в управление развитием </w:t>
      </w:r>
      <w:r>
        <w:rPr>
          <w:rFonts w:ascii="Times New Roman" w:cs="Times New Roman" w:eastAsia="Times New Roman" w:hAnsi="Times New Roman"/>
          <w:sz w:val="28"/>
          <w:szCs w:val="28"/>
          <w:vertAlign w:val="superscript"/>
        </w:rPr>
        <w:t xml:space="preserve">28</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Собранные данные позволяют определить положение реверсивного инжиниринга в системе технологического суверенитета как инструмента тактического уровня с ограниченным, но измеримым эффектом: он закрывает разрывы в номенклатуре механических изделий, снижает остроту зависимости от прерванных поставок и создает конструкторский задел, однако не заменяет собственных разработок и потому требует встраивания в двухконтурную схему, где краткосрочное воспроизводство сочетается с переходом к опережающим решениям по критическим классам изделий. Такая постановка задает требование к методике оценки: она должна сопоставлять реверсивный проект не с нулевой альтернативой, а с закупкой оригинала, аналога и собственной разработкой одновременно.</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1.3. Методические подходы к экономической оценке эффективности инжиниринговых и инфраструктурных проектов в транспортном машиностроении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Традиционная схема обоснования капиталоемких транспортных проектов строится на дисконтировании денежных потоков, при котором значительные первоначальные вложения сопоставляются с эффектами последующих лет, обесцениваемыми в результате дисконтирования как раз к моменту, когда объект выходит на расчетную загрузку </w:t>
      </w:r>
      <w:r>
        <w:rPr>
          <w:rStyle w:val="FootnoteReference"/>
        </w:rPr>
        <w:footnoteReference w:id="29"/>
      </w:r>
      <w:r>
        <w:rPr>
          <w:rFonts w:ascii="Times New Roman" w:cs="Times New Roman" w:eastAsia="Times New Roman" w:hAnsi="Times New Roman"/>
          <w:b w:val="false"/>
          <w:bCs w:val="false"/>
          <w:sz w:val="28"/>
          <w:szCs w:val="28"/>
        </w:rPr>
        <w:t xml:space="preserve">. Д. А. Мачерет и А. Д. Разуваев обращают внимание на то, что такой порядок расчета игнорирует ценность инфраструктуры для будущих поколений и невозможность накапливать транспортную услугу, и предлагают рассматривать результаты долгосрочного функционирования при полной загрузке не в будущем, а в настоящем продолженном времени, оперируя показателями изначально вложенного и скорректированного вложенного капитала, годового эффекта, коэффициента эффективности и ценности объекта </w:t>
      </w:r>
      <w:r>
        <w:rPr>
          <w:rFonts w:ascii="Times New Roman" w:cs="Times New Roman" w:eastAsia="Times New Roman" w:hAnsi="Times New Roman"/>
          <w:sz w:val="28"/>
          <w:szCs w:val="28"/>
          <w:vertAlign w:val="superscript"/>
        </w:rPr>
        <w:t xml:space="preserve">29</w:t>
      </w:r>
      <w:r>
        <w:rPr>
          <w:rFonts w:ascii="Times New Roman" w:cs="Times New Roman" w:eastAsia="Times New Roman" w:hAnsi="Times New Roman"/>
          <w:b w:val="false"/>
          <w:bCs w:val="false"/>
          <w:sz w:val="28"/>
          <w:szCs w:val="28"/>
        </w:rPr>
        <w:t xml:space="preserve">. Для проектов воспроизводства узлов подвижного состава эта критика значима частично: горизонт реверсивного проекта короче инфраструктурного, однако принцип оценки через годовой эффект и коэффициент эффективности, а не только через приведенную стоимость, снижает чувствительность результата к выбору ставки.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Радикальное изменение направлений грузопотоков после 2022 г. потребовало пересмотра самого состава учитываемых эффектов. А. В. Джангирян фиксирует, что прежние методы экономического обоснования, исходившие из классических подходов, не позволяют полноценно учесть общеэкономический эффект, задачи транспортного суверенитета и обязательства по сохранению функциональности международных транспортных коридоров, в силу чего в один ряд с окупаемостью и прибыльностью встают показатели иной природы </w:t>
      </w:r>
      <w:r>
        <w:rPr>
          <w:rStyle w:val="FootnoteReference"/>
        </w:rPr>
        <w:footnoteReference w:id="30"/>
      </w:r>
      <w:r>
        <w:rPr>
          <w:rFonts w:ascii="Times New Roman" w:cs="Times New Roman" w:eastAsia="Times New Roman" w:hAnsi="Times New Roman"/>
          <w:b w:val="false"/>
          <w:bCs w:val="false"/>
          <w:sz w:val="28"/>
          <w:szCs w:val="28"/>
        </w:rPr>
        <w:t xml:space="preserve">. Введенные автором корректирующие показатели - изменение макроэкономической эффективности, потенциальная упущенная выгода, растяжимость инвестиций - вместе с принципом единого инвестиционного пространства и порядком определения профиля риска в условиях радикальной неопределенности </w:t>
      </w:r>
      <w:r>
        <w:rPr>
          <w:rStyle w:val="FootnoteReference"/>
        </w:rPr>
        <w:footnoteReference w:id="31"/>
      </w:r>
      <w:r>
        <w:rPr>
          <w:rFonts w:ascii="Times New Roman" w:cs="Times New Roman" w:eastAsia="Times New Roman" w:hAnsi="Times New Roman"/>
          <w:b w:val="false"/>
          <w:bCs w:val="false"/>
          <w:sz w:val="28"/>
          <w:szCs w:val="28"/>
        </w:rPr>
        <w:t xml:space="preserve"> образуют аппарат, пригодный для переноса на реверсивные проекты, где упущенная выгода от простоя оборудования зачастую превышает прямую экономию на цене детали.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Сложность формализации социально-экономических эффектов отмечена и в исследовании Е. Ю. Маскаевой, где актуальность методической работы связывается с высокой капиталоемкостью железнодорожных проектов, дефицитом бюджетных ассигнований, затрудненным стоимостным выражением эффектов и непрозрачной инвестиционной привлекательностью </w:t>
      </w:r>
      <w:r>
        <w:rPr>
          <w:rStyle w:val="FootnoteReference"/>
        </w:rPr>
        <w:footnoteReference w:id="32"/>
      </w:r>
      <w:r>
        <w:rPr>
          <w:rFonts w:ascii="Times New Roman" w:cs="Times New Roman" w:eastAsia="Times New Roman" w:hAnsi="Times New Roman"/>
          <w:b w:val="false"/>
          <w:bCs w:val="false"/>
          <w:sz w:val="28"/>
          <w:szCs w:val="28"/>
        </w:rPr>
        <w:t xml:space="preserve">. Предложенный инструментарий включает оценку эффективности на основе стоимостных показателей с определением долевого вклада участников в финансирование пропорционально получаемым эффектам, новый показатель экономических потерь от риска снижения качества транспортного обслуживания и метод прогнозирования пассажиропотоков на основе функции желательности </w:t>
      </w:r>
      <w:r>
        <w:rPr>
          <w:rFonts w:ascii="Times New Roman" w:cs="Times New Roman" w:eastAsia="Times New Roman" w:hAnsi="Times New Roman"/>
          <w:sz w:val="28"/>
          <w:szCs w:val="28"/>
          <w:vertAlign w:val="superscript"/>
        </w:rPr>
        <w:t xml:space="preserve">32</w:t>
      </w:r>
      <w:r>
        <w:rPr>
          <w:rFonts w:ascii="Times New Roman" w:cs="Times New Roman" w:eastAsia="Times New Roman" w:hAnsi="Times New Roman"/>
          <w:b w:val="false"/>
          <w:bCs w:val="false"/>
          <w:sz w:val="28"/>
          <w:szCs w:val="28"/>
        </w:rPr>
        <w:t xml:space="preserve">. Идея распределения финансовой нагрузки соразмерно получаемым выгодам прямо применима к кооперационным реверсивным проектам, где заказчик узла, изготовитель и владелец парка получают разные по составу результаты.</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Метод анализа затрат и выгод остается основным инструментом для проектов с высокой социальной значимостью: А. Д. Разуваев с соавторами обосновывают его целесообразность необходимостью учитывать широкий спектр формируемых эффектов и дополняют методический инструментарий подходами к обоснованию инвестиционно-строительной и транспортной деятельности на примере Московской агломерации </w:t>
      </w:r>
      <w:r>
        <w:rPr>
          <w:rStyle w:val="FootnoteReference"/>
        </w:rPr>
        <w:footnoteReference w:id="33"/>
      </w:r>
      <w:r>
        <w:rPr>
          <w:rFonts w:ascii="Times New Roman" w:cs="Times New Roman" w:eastAsia="Times New Roman" w:hAnsi="Times New Roman"/>
          <w:b w:val="false"/>
          <w:bCs w:val="false"/>
          <w:sz w:val="28"/>
          <w:szCs w:val="28"/>
        </w:rPr>
        <w:t xml:space="preserve">. Применительно к машиностроительному переделу расширение состава выгод означает включение в расчет не только экономии на закупке, но и эффектов сокращения сроков ремонта, роста коэффициента технической готовности парка и удержания компетенций конструкторского подразделения.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Для цифровых и интеллектуальных решений в транспортной отрасли методология оценки уже стандартизирована вокруг расширенной чистой приведенной стоимости: ENPV позволяет монетизировать ключевые внешние эффекты, причем максимальный социально-экономический результат достигается не внедрением отдельных технологий, а созданием комплексных синергетических систем </w:t>
      </w:r>
      <w:r>
        <w:rPr>
          <w:rStyle w:val="FootnoteReference"/>
        </w:rPr>
        <w:footnoteReference w:id="34"/>
      </w:r>
      <w:r>
        <w:rPr>
          <w:rFonts w:ascii="Times New Roman" w:cs="Times New Roman" w:eastAsia="Times New Roman" w:hAnsi="Times New Roman"/>
          <w:b w:val="false"/>
          <w:bCs w:val="false"/>
          <w:sz w:val="28"/>
          <w:szCs w:val="28"/>
        </w:rPr>
        <w:t xml:space="preserve">. Основной барьер повышения зрелости таких систем, по оценке М. Ю. Карелиной и соавторов, лежит не в технологической, а в институционально-регуляторной плоскости - институциональная фрагментация, терминологическая и стандартная неоднозначность, дефицит специализированных компетенций </w:t>
      </w:r>
      <w:r>
        <w:rPr>
          <w:rFonts w:ascii="Times New Roman" w:cs="Times New Roman" w:eastAsia="Times New Roman" w:hAnsi="Times New Roman"/>
          <w:sz w:val="28"/>
          <w:szCs w:val="28"/>
          <w:vertAlign w:val="superscript"/>
        </w:rPr>
        <w:t xml:space="preserve">34</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Затратная сторона оценки требует привязки к нормативной базе планирования расходов. А. В. Быстров показывает, что при эксплуатационной длине сети ОАО «РЖД» около 85,6 тыс. км наибольшие доли в структуре расходов приходятся на локомотивное хозяйство (26,9 %), путевое (24,4 %) и вагонное (10,6 %), суммарно 61,9 %, причем в ремонтных филиалах - дирекции по ремонту пути и дирекции путевых машин - материальные затраты достигают 70 % операционных </w:t>
      </w:r>
      <w:r>
        <w:rPr>
          <w:rStyle w:val="FootnoteReference"/>
        </w:rPr>
        <w:footnoteReference w:id="35"/>
      </w:r>
      <w:r>
        <w:rPr>
          <w:rFonts w:ascii="Times New Roman" w:cs="Times New Roman" w:eastAsia="Times New Roman" w:hAnsi="Times New Roman"/>
          <w:b w:val="false"/>
          <w:bCs w:val="false"/>
          <w:sz w:val="28"/>
          <w:szCs w:val="28"/>
        </w:rPr>
        <w:t xml:space="preserve">. Планирование и учет ведутся по Классификатору расходов основных видов хозяйственной деятельности железнодорожного транспорта 2018 г., а материальные расходы рассчитываются по укрупненным нормам затрат ресурсов, нормам на одного работника, на единицу оборудования и на единицу объема работ </w:t>
      </w:r>
      <w:r>
        <w:rPr>
          <w:rFonts w:ascii="Times New Roman" w:cs="Times New Roman" w:eastAsia="Times New Roman" w:hAnsi="Times New Roman"/>
          <w:sz w:val="28"/>
          <w:szCs w:val="28"/>
          <w:vertAlign w:val="superscript"/>
        </w:rPr>
        <w:t xml:space="preserve">35</w:t>
      </w:r>
      <w:r>
        <w:rPr>
          <w:rFonts w:ascii="Times New Roman" w:cs="Times New Roman" w:eastAsia="Times New Roman" w:hAnsi="Times New Roman"/>
          <w:b w:val="false"/>
          <w:bCs w:val="false"/>
          <w:sz w:val="28"/>
          <w:szCs w:val="28"/>
        </w:rPr>
        <w:t xml:space="preserve">. Преобладание материальной составляющей в ремонтном переделе задает точку приложения эффекта от реверсивного инжиниринга: снижение цены запасной части воздействует на самую весомую статью, тогда как трудовая часть расходов меняется незначительно.</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Организационная рамка оценки заимствуется из модели организационно-экономического механизма, предложенной Н. М. Абуевым. Механизм трактуется как целостная система взаимосвязанных организационных структур, экономических инструментов, методов управления и процедурных процессов, координирующая деятельность участников ради достижения стратегических целей, и включает два блока - организационный и экономический </w:t>
      </w:r>
      <w:r>
        <w:rPr>
          <w:rStyle w:val="FootnoteReference"/>
        </w:rPr>
        <w:footnoteReference w:id="36"/>
      </w:r>
      <w:r>
        <w:rPr>
          <w:rFonts w:ascii="Times New Roman" w:cs="Times New Roman" w:eastAsia="Times New Roman" w:hAnsi="Times New Roman"/>
          <w:b w:val="false"/>
          <w:bCs w:val="false"/>
          <w:sz w:val="28"/>
          <w:szCs w:val="28"/>
        </w:rPr>
        <w:t xml:space="preserve">. Организационный блок отвечает на вопрос, кто и как управляет отбором и реализацией проектов: институциональная структура с коллегиальным органом и институтами развития как центром компетенций, функционально-процедурная часть, ядром которой служит методика оценки и отбора проектов с процессуальным регламентом и мониторингом по KPI, административно-правовое регулирование и информационная поддержка через единую цифровую платформу </w:t>
      </w:r>
      <w:r>
        <w:rPr>
          <w:rFonts w:ascii="Times New Roman" w:cs="Times New Roman" w:eastAsia="Times New Roman" w:hAnsi="Times New Roman"/>
          <w:sz w:val="28"/>
          <w:szCs w:val="28"/>
          <w:vertAlign w:val="superscript"/>
        </w:rPr>
        <w:t xml:space="preserve">36</w:t>
      </w:r>
      <w:r>
        <w:rPr>
          <w:rFonts w:ascii="Times New Roman" w:cs="Times New Roman" w:eastAsia="Times New Roman" w:hAnsi="Times New Roman"/>
          <w:b w:val="false"/>
          <w:bCs w:val="false"/>
          <w:sz w:val="28"/>
          <w:szCs w:val="28"/>
        </w:rPr>
        <w:t xml:space="preserve">. Перенос конструкции на предприятие позволяет закрепить методику отбора реверсивных проектов как формальное ядро процедуры, а не как разовый расчет.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Систему измерения результата целесообразно строить трехуровневой. А. А. Курбатов, указывая на разрыв между операционными улучшениями и их финансовыми последствиями, который затрудняет обоснование рентабельности вложений в процессные проекты, предлагает интегрировать операционные, клиентоориентированные и финансовые метрики на принципах сбалансированной системы показателей: уровень процессных KPI как опережающих индикаторов, уровень KPI влияния и уровень финансовых KPI, обеспечивающий сквозную видимость вклада в результаты компании </w:t>
      </w:r>
      <w:r>
        <w:rPr>
          <w:rStyle w:val="FootnoteReference"/>
        </w:rPr>
        <w:footnoteReference w:id="37"/>
      </w:r>
      <w:r>
        <w:rPr>
          <w:rFonts w:ascii="Times New Roman" w:cs="Times New Roman" w:eastAsia="Times New Roman" w:hAnsi="Times New Roman"/>
          <w:b w:val="false"/>
          <w:bCs w:val="false"/>
          <w:sz w:val="28"/>
          <w:szCs w:val="28"/>
        </w:rPr>
        <w:t xml:space="preserve">. Для реверсивных проектов аналогом процессных метрик выступают длительность этапов обмера и моделирования, аналогом метрик влияния - доля номенклатуры, переведенной на собственное производство, и коэффициент технической готовности изделий.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Сопоставление рассмотренных методических подходов по применимости к проектам реверсивного инжиниринга приведено в таблице 3.</w:t>
      </w:r>
    </w:p>
    <w:p>
      <w:pPr>
        <w:spacing w:after="0" w:before="0" w:line="360" w:lineRule="auto"/>
        <w:jc w:val="center"/>
      </w:pPr>
      <w:r>
        <w:rPr>
          <w:rFonts w:ascii="Times New Roman" w:cs="Times New Roman" w:eastAsia="Times New Roman" w:hAnsi="Times New Roman"/>
          <w:sz w:val="28"/>
          <w:szCs w:val="28"/>
        </w:rPr>
        <w:t xml:space="preserve">Таблица 3 - Методические подходы к оценке эффективности проектов и их применимость к реверсивному инжинирингу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Подход, показатель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Исходная область применения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Переносимый элемент</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Ограничение при переносе</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Скорректированный вложенный капитал, коэффициент эффективности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Железнодорожная инфраструктура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Оценка через годовой эффект без обесценения отдаленных выгод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Избыточен при горизонте проекта до 3 лет</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Корректирующие показатели, профиль риска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Международные транспортные коридоры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Потенциальная упущенная выгода, растяжимость инвестиций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Требует данных о макроэффектах</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Долевой вклад участников по получаемым эффектам</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Пассажирские перевозки в агломерации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Распределение затрат между заказчиком и изготовителем</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Сложность стоимостной оценки эффектов сторон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Анализ затрат и выгод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Инфраструктура агломераций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Расширенный состав выгод сверх прямой экономии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Риск двойного счета эффектов</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Расширенная чистая приведенная стоимость (ENPV)</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Интеллектуальные транспортные системы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Монетизация внешних эффектов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Нужна нормативная база монетизации</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Трехуровневая система KPI</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Торговые предприятия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Связка процессных и финансовых метрик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Адаптация к производственному циклу</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[35], [13], [12], [29], [34], [22]</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Сведение подходов в единую таблицу обнаруживает их взаимодополняемость: инфраструктурные методики дают логику учета отдаленных и косвенных эффектов, процессные - механику измерения промежуточных результатов.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Оценка эффективности информационного контура проекта опирается на иной набор измерителей. К. Николаева, обобщая обоснование внедрения информационных систем на транспортном предприятии, сводит эффект к трем направлениям - снижение затрат, рост производительности и улучшение качества обслуживания клиентов, - и указывает на методический аппарат, включающий сравнительный анализ, моделирование и оценку рисков с последующей визуализацией результатов </w:t>
      </w:r>
      <w:r>
        <w:rPr>
          <w:rStyle w:val="FootnoteReference"/>
        </w:rPr>
        <w:footnoteReference w:id="38"/>
      </w:r>
      <w:r>
        <w:rPr>
          <w:rFonts w:ascii="Times New Roman" w:cs="Times New Roman" w:eastAsia="Times New Roman" w:hAnsi="Times New Roman"/>
          <w:b w:val="false"/>
          <w:bCs w:val="false"/>
          <w:sz w:val="28"/>
          <w:szCs w:val="28"/>
        </w:rPr>
        <w:t xml:space="preserve">. Существенно, что информационные системы дают не только автоматизацию рутинных операций, но и аналитическую обработку больших массивов данных, повышающую обоснованность управленческих решений </w:t>
      </w:r>
      <w:r>
        <w:rPr>
          <w:rFonts w:ascii="Times New Roman" w:cs="Times New Roman" w:eastAsia="Times New Roman" w:hAnsi="Times New Roman"/>
          <w:sz w:val="28"/>
          <w:szCs w:val="28"/>
          <w:vertAlign w:val="superscript"/>
        </w:rPr>
        <w:t xml:space="preserve">38</w:t>
      </w:r>
      <w:r>
        <w:rPr>
          <w:rFonts w:ascii="Times New Roman" w:cs="Times New Roman" w:eastAsia="Times New Roman" w:hAnsi="Times New Roman"/>
          <w:b w:val="false"/>
          <w:bCs w:val="false"/>
          <w:sz w:val="28"/>
          <w:szCs w:val="28"/>
        </w:rPr>
        <w:t xml:space="preserve">; в реверсивном проекте этот эффект материализуется в сокращении первого, наиболее трудоемкого этапа - поиска и систематизации имеющейся технической информации.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Контрактная плоскость оценки разработана В. В. Васильчевым, который выстраивает инструментарий согласования экономических интересов участников цепочки создания ценности: тип контракта с повышенной риск-устойчивостью выбирается исходя из характера сегмента рынка и уровня конкуренции, определяется допустимый диапазон уступок интересов, ранжируются потенциальные участники, а комплексная оценка эффекта контрактных условий строится в нормированной форме с учетом дополнительных эффектов каждой стороны на разных фазах жизненного цикла организации </w:t>
      </w:r>
      <w:r>
        <w:rPr>
          <w:rStyle w:val="FootnoteReference"/>
        </w:rPr>
        <w:footnoteReference w:id="39"/>
      </w:r>
      <w:r>
        <w:rPr>
          <w:rFonts w:ascii="Times New Roman" w:cs="Times New Roman" w:eastAsia="Times New Roman" w:hAnsi="Times New Roman"/>
          <w:b w:val="false"/>
          <w:bCs w:val="false"/>
          <w:sz w:val="28"/>
          <w:szCs w:val="28"/>
        </w:rPr>
        <w:t xml:space="preserve">. Реверсивный проект почти всегда кооперационный - в нем участвуют владелец образца, разработчик документации и изготовитель, - поэтому нормированная оценка эффекта контрактных условий закрывает методический пробел, который не покрывается ни дисконтированием, ни анализом затрат и выгод.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Ресурсосберегающая парадигма целеполагания добавляет к расчету критерий экономии живого труда. Е. В. Болгова и С. А. Болгов, констатируя исчерпание конкурентного и инновационного типов развития транспортно-логистических систем, обосновывают переход к ресурсосберегающему типу, ориентированному на высвобождение ресурсов рабочей силы в условиях демографического сжатия, тогда как экономия затрат на транспорт и логистику под санкционным давлением достигается диверсификацией территориальных форм </w:t>
      </w:r>
      <w:r>
        <w:rPr>
          <w:rStyle w:val="FootnoteReference"/>
        </w:rPr>
        <w:footnoteReference w:id="40"/>
      </w:r>
      <w:r>
        <w:rPr>
          <w:rFonts w:ascii="Times New Roman" w:cs="Times New Roman" w:eastAsia="Times New Roman" w:hAnsi="Times New Roman"/>
          <w:b w:val="false"/>
          <w:bCs w:val="false"/>
          <w:sz w:val="28"/>
          <w:szCs w:val="28"/>
        </w:rPr>
        <w:t xml:space="preserve">. Исследование выполнено в рамках государственного задания Федерального агентства железнодорожного транспорта по проекту № 124040300020-8 </w:t>
      </w:r>
      <w:r>
        <w:rPr>
          <w:rFonts w:ascii="Times New Roman" w:cs="Times New Roman" w:eastAsia="Times New Roman" w:hAnsi="Times New Roman"/>
          <w:sz w:val="28"/>
          <w:szCs w:val="28"/>
          <w:vertAlign w:val="superscript"/>
        </w:rPr>
        <w:t xml:space="preserve">40</w:t>
      </w:r>
      <w:r>
        <w:rPr>
          <w:rFonts w:ascii="Times New Roman" w:cs="Times New Roman" w:eastAsia="Times New Roman" w:hAnsi="Times New Roman"/>
          <w:b w:val="false"/>
          <w:bCs w:val="false"/>
          <w:sz w:val="28"/>
          <w:szCs w:val="28"/>
        </w:rPr>
        <w:t xml:space="preserve">, что указывает на институциональную поддержку именно ресурсосберегающего критерия; для реверсивных проектов это означает необходимость учитывать в числе выгод сокращение трудоемкости изготовления, а не только разницу в цене.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Технологическую зрелость как самостоятельный измеритель вводит Р. Р. Сафиуллин с соавторами, предлагая показатель уровня зрелости (G), который суммирует технические и функциональные возможности транспортной системы по составляющим «интеллект транспортных средств», «интеллект инфраструктуры и дороги», «системная интеграция» и «сетевая взаимосвязь», и разворачивая на его основе четырехмерную модель количественной оценки внедрения технологий </w:t>
      </w:r>
      <w:r>
        <w:rPr>
          <w:rStyle w:val="FootnoteReference"/>
        </w:rPr>
        <w:footnoteReference w:id="41"/>
      </w:r>
      <w:r>
        <w:rPr>
          <w:rFonts w:ascii="Times New Roman" w:cs="Times New Roman" w:eastAsia="Times New Roman" w:hAnsi="Times New Roman"/>
          <w:b w:val="false"/>
          <w:bCs w:val="false"/>
          <w:sz w:val="28"/>
          <w:szCs w:val="28"/>
        </w:rPr>
        <w:t xml:space="preserve">. Отсутствие общих стандартов для технических средств и локальных автоматических систем порождает разногласия в определениях и подходах, что требует научно обоснованной методологии снижения издержек при изменяющихся количественных, качественных и структурных характеристиках систем </w:t>
      </w:r>
      <w:r>
        <w:rPr>
          <w:rFonts w:ascii="Times New Roman" w:cs="Times New Roman" w:eastAsia="Times New Roman" w:hAnsi="Times New Roman"/>
          <w:sz w:val="28"/>
          <w:szCs w:val="28"/>
          <w:vertAlign w:val="superscript"/>
        </w:rPr>
        <w:t xml:space="preserve">41</w:t>
      </w:r>
      <w:r>
        <w:rPr>
          <w:rFonts w:ascii="Times New Roman" w:cs="Times New Roman" w:eastAsia="Times New Roman" w:hAnsi="Times New Roman"/>
          <w:b w:val="false"/>
          <w:bCs w:val="false"/>
          <w:sz w:val="28"/>
          <w:szCs w:val="28"/>
        </w:rPr>
        <w:t xml:space="preserve">. Логика индексной оценки зрелости применима к реверсивному инжинирингу напрямую: степень готовности предприятия к обратному проектированию складывается из оснащенности измерительным и аддитивным оборудованием, квалификации конструкторов, зрелости процедур испытаний и сопряженности информационных систем.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Обзор методического арсенала показывает отсутствие готовой методики оценки именно реверсивных проектов: инфраструктурные подходы рассчитаны на горизонты и масштабы, несопоставимые с воспроизводством отдельного узла, процессные ориентированы на операционные улучшения без единовременных капитальных вложений, а инструменты оценки цифровых решений опираются на монетизацию внешних эффектов, которая для машиностроительного передела не формализована. Требуемая конструкция складывается из четырех элементов: сопоставления реверсивного варианта с закупкой оригинала, аналога и собственной разработкой; учета предотвращенной упущенной выгоды от простоя; нормированной оценки эффекта кооперационного контракта; индексной оценки готовности предприятия к обратному проектированию. Эти элементы и определяют направление анализа фактической практики на материалах конкретного предприятия транспортного машиностроения.</w:t>
      </w:r>
    </w:p>
    <w:p>
      <w:r>
        <w:br w:type="page"/>
      </w:r>
    </w:p>
    <w:p>
      <w:pPr>
        <w:pStyle w:val="Heading1"/>
        <w:spacing w:after="0" w:before="0" w:line="360" w:lineRule="auto"/>
        <w:jc w:val="center"/>
      </w:pPr>
      <w:r>
        <w:rPr>
          <w:b/>
          <w:bCs/>
        </w:rPr>
        <w:t xml:space="preserve">ГЛАВА 2. АНАЛИЗ ПРАКТИКИ УПРАВЛЕНИЯ ПРОЦЕССАМИ РЕВЕРСИВНОГО ИНЖИНИРИНГА НА МАТЕРИАЛАХ АО «НОВОЧЕРКАССКИЙ ЭЛЕКТРОВОЗОСТРОИТЕЛЬНЫЙ ЗАВОД»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2.1. Организационно-экономическая характеристика предприятия и его позиция в системе приоритетных направлений технологического суверенитета железнодорожного машиностроения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Новочеркасский электровозостроительный завод относится к предприятиям полного производственного цикла в сегменте магистрального электроподвижного состава: выпуск охватывает грузовые электровозы переменного и постоянного тока, пассажирские локомотивы, а также тяговое электрооборудование и запасные части для сервисного обслуживания эксплуатируемого парка. Производственная площадка в Новочеркасске объединяет заготовительный, механообрабатывающий, электромашинный, сборочный и испытательный переделы, что принципиально для предмета исследования: наличие собственных литейного, кузнечно-прессового и механического производств делает предприятие потенциальным исполнителем реверсивных проектов не только для внутренних нужд, но и для смежных заводов холдинговой структуры.</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Формальная привязка предприятия к рамке технологического суверенитета не требует дополнительных допущений: постановление Правительства РФ от 15.04.2023 № 603 в редакции от 06.11.2024 прямо выделяет железнодорожное машиностроение отдельным разделом приоритетных направлений с критериями через коды ОКПД2 </w:t>
      </w:r>
      <w:r>
        <w:rPr>
          <w:rStyle w:val="FootnoteReference"/>
        </w:rPr>
        <w:footnoteReference w:id="42"/>
      </w:r>
      <w:r>
        <w:rPr>
          <w:rFonts w:ascii="Times New Roman" w:cs="Times New Roman" w:eastAsia="Times New Roman" w:hAnsi="Times New Roman"/>
          <w:b w:val="false"/>
          <w:bCs w:val="false"/>
          <w:sz w:val="28"/>
          <w:szCs w:val="28"/>
        </w:rPr>
        <w:t xml:space="preserve">, а закон о промышленной политике в статье 9.1 закрепляет меры стимулирования инжиниринговой деятельности </w:t>
      </w:r>
      <w:r>
        <w:rPr>
          <w:rStyle w:val="FootnoteReference"/>
        </w:rPr>
        <w:footnoteReference w:id="43"/>
      </w:r>
      <w:r>
        <w:rPr>
          <w:rFonts w:ascii="Times New Roman" w:cs="Times New Roman" w:eastAsia="Times New Roman" w:hAnsi="Times New Roman"/>
          <w:b w:val="false"/>
          <w:bCs w:val="false"/>
          <w:sz w:val="28"/>
          <w:szCs w:val="28"/>
        </w:rPr>
        <w:t xml:space="preserve">. Соответственно проекты воспроизводства узлов электровозов попадают в поле действия обеих норм одновременно - как продукция приоритетного направления и как результат инжиниринговых работ.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Масштаб деятельности за 2024-2025 гг. характеризуется следующими параметрами. Выпуск магистральных электровозов в 2024 г. составил 217 секций, в 2025 г. - 234 секции при среднегодовой загрузке сборочного производства 87,3 %. Выручка от реализации в 2024 г. достигла 47 386,2 млн руб., в 2025 г. - 52 914,7 млн руб., прирост 11,7 %. Себестоимость продаж выросла с 41 038,5 до 45 967,3 млн руб., опережая выручку на 0,3 процентного пункта по темпу, вследствие чего рентабельность продаж сократилась с 7,82 до 7,51 %. Доля запасных частей и тягового электрооборудования в структуре выручки увеличилась с 12,4 до 14,6 %, что отражает возросший спрос эксплуатирующих организаций на поддержание работоспособности парка выпуска прошлых десятилетий.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Материальная составляющая затрат остается определяющей: в 2025 г. покупные комплектующие, сырье и материалы сформировали 68,4 % себестоимости против 66,9 % в 2024 г., оплата труда с отчислениями - 19,2 %, амортизация - 4,7 %, прочие расходы - 7,7 %. Такое соотношение соответствует общей закономерности машиностроительного и ремонтного переделов, где материальные затраты в профильных филиалах достигают 70 % операционных </w:t>
      </w:r>
      <w:r>
        <w:rPr>
          <w:rStyle w:val="FootnoteReference"/>
        </w:rPr>
        <w:footnoteReference w:id="44"/>
      </w:r>
      <w:r>
        <w:rPr>
          <w:rFonts w:ascii="Times New Roman" w:cs="Times New Roman" w:eastAsia="Times New Roman" w:hAnsi="Times New Roman"/>
          <w:b w:val="false"/>
          <w:bCs w:val="false"/>
          <w:sz w:val="28"/>
          <w:szCs w:val="28"/>
        </w:rPr>
        <w:t xml:space="preserve">, и одновременно указывает на точку приложения экономического эффекта: любое снижение закупочной цены критичной позиции воздействует на две трети затратной базы, тогда как резервы по трудовой части ограничены.</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Численность персонала на конец 2025 г. составила 11 476 человек, в том числе 1 038 работников конструкторско-технологических служб; средняя выработка на одного занятого выросла с 4,12 до 4,61 млн руб. Затраты на исследования, разработки и техническое перевооружение конструкторской базы в 2025 г. составили 613,8 млн руб., или 1,16 % выручки, - величина, которую следует сопоставлять с общеотраслевым ориентиром внутренних затрат на исследования и разработки по обрабатывающей промышленности в 165,9 млрд руб. за 2021 г. </w:t>
      </w:r>
      <w:r>
        <w:rPr>
          <w:rStyle w:val="FootnoteReference"/>
        </w:rPr>
        <w:footnoteReference w:id="45"/>
      </w:r>
      <w:r>
        <w:rPr>
          <w:rFonts w:ascii="Times New Roman" w:cs="Times New Roman" w:eastAsia="Times New Roman" w:hAnsi="Times New Roman"/>
          <w:b w:val="false"/>
          <w:bCs w:val="false"/>
          <w:sz w:val="28"/>
          <w:szCs w:val="28"/>
        </w:rPr>
        <w:t xml:space="preserve"> и с долей организаций, ведущих технологические инновации в производстве машин и оборудования, чуть выше 50 % </w:t>
      </w:r>
      <w:r>
        <w:rPr>
          <w:rFonts w:ascii="Times New Roman" w:cs="Times New Roman" w:eastAsia="Times New Roman" w:hAnsi="Times New Roman"/>
          <w:sz w:val="28"/>
          <w:szCs w:val="28"/>
          <w:vertAlign w:val="superscript"/>
        </w:rPr>
        <w:t xml:space="preserve">45</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Устойчивость предприятия оценивается в логике, апробированной А. М. Калининой на материалах производственной структуры НЭВЗ: методика опирается на балльно-индексный метод, SWOT-анализ и контент-анализ с обработкой данных Минэкономразвития РФ и Ростовской области, Росстата и внутренней отчетности, а концептуальной рамкой служат триггеры Индустрии 5.0 </w:t>
      </w:r>
      <w:r>
        <w:rPr>
          <w:rStyle w:val="FootnoteReference"/>
        </w:rPr>
        <w:footnoteReference w:id="46"/>
      </w:r>
      <w:r>
        <w:rPr>
          <w:rFonts w:ascii="Times New Roman" w:cs="Times New Roman" w:eastAsia="Times New Roman" w:hAnsi="Times New Roman"/>
          <w:b w:val="false"/>
          <w:bCs w:val="false"/>
          <w:sz w:val="28"/>
          <w:szCs w:val="28"/>
        </w:rPr>
        <w:t xml:space="preserve">. Автор фиксирует факторы, лимитирующие цифровизацию машиностроительных предприятий, с выделением специфики транспортного машиностроения </w:t>
      </w:r>
      <w:r>
        <w:rPr>
          <w:rFonts w:ascii="Times New Roman" w:cs="Times New Roman" w:eastAsia="Times New Roman" w:hAnsi="Times New Roman"/>
          <w:sz w:val="28"/>
          <w:szCs w:val="28"/>
          <w:vertAlign w:val="superscript"/>
        </w:rPr>
        <w:t xml:space="preserve">46</w:t>
      </w:r>
      <w:r>
        <w:rPr>
          <w:rFonts w:ascii="Times New Roman" w:cs="Times New Roman" w:eastAsia="Times New Roman" w:hAnsi="Times New Roman"/>
          <w:b w:val="false"/>
          <w:bCs w:val="false"/>
          <w:sz w:val="28"/>
          <w:szCs w:val="28"/>
        </w:rPr>
        <w:t xml:space="preserve">, и именно эти лимитирующие факторы обнаруживаются при анализе конструкторского контура: из 1 038 работников проектных служб владение средствами трехмерного сканирования и обработки облаков точек подтверждено у 47 человек, то есть у 4,5 %.</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Финансовое состояние объекта за два года сохраняет приемлемую, но снижающуюся устойчивость. Коэффициент текущей ликвидности изменился с 1,47 до 1,39, коэффициент автономии - с 0,412 до 0,398, оборачиваемость запасов замедлилась с 3,84 до 3,61 оборота в год. Рост запасов с 9 274,6 до 11 083,4 млн руб. на 19,5 % при увеличении выпуска на 7,8 % указывает на формирование страховых резервов по импортозависимым позициям - типовая реакция на риск прерывания поставок, аналогичная описанной для ресурсных отраслей, где уход зарубежных партнеров и отсутствие современных технологий на отдельных этапах производственного цикла снижали эффективность проектов вплоть до их закрытия </w:t>
      </w:r>
      <w:r>
        <w:rPr>
          <w:rStyle w:val="FootnoteReference"/>
        </w:rPr>
        <w:footnoteReference w:id="47"/>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Состояние производственных фондов задает второй контур спроса на обратное проектирование. Степень износа основных средств на конец 2025 г. составила 54,7 % против 53,1 % годом ранее, по группе «машины и оборудование» - 61,3 %; средний фактический срок службы металлорежущего парка достиг 24,6 года. Показатели превышают общеотраслевые ориентиры - 51,7 % износа в 2021 г. и около 23 лет среднего срока службы машин и оборудования обрабатывающей промышленности </w:t>
      </w:r>
      <w:r>
        <w:rPr>
          <w:rStyle w:val="FootnoteReference"/>
        </w:rPr>
        <w:footnoteReference w:id="48"/>
      </w:r>
      <w:r>
        <w:rPr>
          <w:rFonts w:ascii="Times New Roman" w:cs="Times New Roman" w:eastAsia="Times New Roman" w:hAnsi="Times New Roman"/>
          <w:b w:val="false"/>
          <w:bCs w:val="false"/>
          <w:sz w:val="28"/>
          <w:szCs w:val="28"/>
        </w:rPr>
        <w:t xml:space="preserve">. Коэффициент обновления основных средств за 2025 г. равен 6,2 %, что при существующем возрасте парка не обеспечивает воспроизводства: доля станков, для которых изготовитель прекратил выпуск запасных частей, оценивается в 38,4 % от списочного количества единиц, и потребность в восстановлении снятых с производства деталей возникает уже не как исключение, а как регулярная задача ремонтных служб.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Сводные параметры деятельности приведены в таблице 4.</w:t>
      </w:r>
    </w:p>
    <w:p>
      <w:pPr>
        <w:spacing w:after="0" w:before="0" w:line="360" w:lineRule="auto"/>
        <w:jc w:val="center"/>
      </w:pPr>
      <w:r>
        <w:rPr>
          <w:rFonts w:ascii="Times New Roman" w:cs="Times New Roman" w:eastAsia="Times New Roman" w:hAnsi="Times New Roman"/>
          <w:sz w:val="28"/>
          <w:szCs w:val="28"/>
        </w:rPr>
        <w:t xml:space="preserve">Таблица 4 - Основные организационно-экономические показатели АО «НЭВЗ» за 2024-2025 гг.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Показатель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2024 г.</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2025 г.</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Изменение, %</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Выпуск электровозов, секций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217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234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Выручка от реализации, млн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47 386,2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52 914,7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11,7</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Себестоимость продаж, млн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41 038,5</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45 967,3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12,0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Рентабельность продаж,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7,82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7,51</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-0,31 п.п.</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Доля материальных затрат в себестоимости,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66,9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68,4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1,5 п.п.</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Численность персонала, чел.</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11 218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11 476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2,3</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Затраты на НИОКР и конструкторскую базу, млн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541,3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613,8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13,4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Степень износа основных средств,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53,1</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54,7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 п.п.</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Коэффициент текущей ликвидности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1,39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-0,08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Запасы, млн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9 274,6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11 083,4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19,5</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бухгалтерской (финансовой) отчетности и внутренней управленческой отчетности АО «НЭВЗ» за 2024-2025 гг., а также по: Калинина, А. М. Формирование механизма управления устойчивым развитием машиностроительных предприятий в современных условиях. - 2025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Региональный контур поддержки предприятием задействован ограниченно. Ростовская область располагает инструментами софинансирования технологических проектов, однако практика партнерств концентрируется в узкой группе субъектов с высоким инвестиционным потенциалом, тогда как остальные территории демонстрируют слабую инициативу из-за дефицита методологии встраивания партнерских схем в управление развитием </w:t>
      </w:r>
      <w:r>
        <w:rPr>
          <w:rStyle w:val="FootnoteReference"/>
        </w:rPr>
        <w:footnoteReference w:id="49"/>
      </w:r>
      <w:r>
        <w:rPr>
          <w:rFonts w:ascii="Times New Roman" w:cs="Times New Roman" w:eastAsia="Times New Roman" w:hAnsi="Times New Roman"/>
          <w:b w:val="false"/>
          <w:bCs w:val="false"/>
          <w:sz w:val="28"/>
          <w:szCs w:val="28"/>
        </w:rPr>
        <w:t xml:space="preserve">. За 2024-2025 гг. предприятие не заключило ни одного соглашения о государственно-частном партнерстве по направлению обратного проектирования, при том что федеральный бюджет на такие проекты в 2025-2027 гг. предусматривает свыше 38 млрд руб. </w:t>
      </w:r>
      <w:r>
        <w:rPr>
          <w:rStyle w:val="FootnoteReference"/>
        </w:rPr>
        <w:footnoteReference w:id="50"/>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Место предприятия в цепочке создания ценности определяет и распределение переговорной силы. Основной объем поставок магистральных электровозов законтрактован с единственным крупным эксплуатантом сети протяженностью около 85,6 тыс. км </w:t>
      </w:r>
      <w:r>
        <w:rPr>
          <w:rStyle w:val="FootnoteReference"/>
        </w:rPr>
        <w:footnoteReference w:id="51"/>
      </w:r>
      <w:r>
        <w:rPr>
          <w:rFonts w:ascii="Times New Roman" w:cs="Times New Roman" w:eastAsia="Times New Roman" w:hAnsi="Times New Roman"/>
          <w:b w:val="false"/>
          <w:bCs w:val="false"/>
          <w:sz w:val="28"/>
          <w:szCs w:val="28"/>
        </w:rPr>
        <w:t xml:space="preserve">, на который в 2025 г. пришлось 81,4 % выручки завода; сервисное направление и поставки тягового электрооборудования сторонним заказчикам дали 14,6 %, экспорт в страны ЕАЭС - 4,0 %. Концентрация сбыта означает, что типы контрактов формируются в сегменте с крайне низким уровнем конкуренции со стороны продавца, а именно характер сегмента рынка, по наблюдению В. В. Васильчева, определяет выбор контрактной конструкции с повышенной риск-устойчивостью и допустимый диапазон уступок интересов сторон </w:t>
      </w:r>
      <w:r>
        <w:rPr>
          <w:rStyle w:val="FootnoteReference"/>
        </w:rPr>
        <w:footnoteReference w:id="52"/>
      </w:r>
      <w:r>
        <w:rPr>
          <w:rFonts w:ascii="Times New Roman" w:cs="Times New Roman" w:eastAsia="Times New Roman" w:hAnsi="Times New Roman"/>
          <w:b w:val="false"/>
          <w:bCs w:val="false"/>
          <w:sz w:val="28"/>
          <w:szCs w:val="28"/>
        </w:rPr>
        <w:t xml:space="preserve">. Практическим следствием служит фиксация цены на годовой период при плавающей стоимости покупных комплектующих - конструкция, переносящая ценовой риск на изготовителя.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Организационная структура управления техническим развитием построена по функциональному принципу: конструкторские и технологические подразделения подчинены главному инженеру, закупки - коммерческому блоку, а решения о замещении импортной позиции принимаются на уровне технического совета по разовым заявкам. Формализованного проектного офиса, отвечающего за полный цикл обратного проектирования от отбора номенклатуры до постановки на производство, на конец 2025 г. не создано. Такая конфигурация воспроизводит риск, описанный В. И. Зарубиным и соавторами: при опоре только на процессный подход возникает автоматизация заведомо неэффективных процедур, а при опоре только на проектный - силосный эффект и рассогласование инициатив, тогда как сбалансированное решение требует увязки стратегического, тактического и операционного уровней управления </w:t>
      </w:r>
      <w:r>
        <w:rPr>
          <w:rStyle w:val="FootnoteReference"/>
        </w:rPr>
        <w:footnoteReference w:id="53"/>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Цифровая база конструкторского обеспечения развита неравномерно. Электронные модели существуют для 62,8 % номенклатуры изделий текущего производства и лишь для 21,3 % номенклатуры локомотивов выпуска до 2010 г., по которым поступает основной объем сервисных заявок. Средний срок подготовки комплекта документации на замещающую деталь в 2025 г. составил 94 календарных дня, из которых 51 день занял поиск и сверка исходных данных - доля 54,3 %, близкая к описанной в методологии обратного проектирования, где сбор и анализ информации забирает большую часть общего времени и определяет реализуемость проекта в целом </w:t>
      </w:r>
      <w:r>
        <w:rPr>
          <w:rStyle w:val="FootnoteReference"/>
        </w:rPr>
        <w:footnoteReference w:id="54"/>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Информационная инфраструктура при этом способна дать измеримый эффект: интеграция информационных систем сокращает затраты, повышает производительность и улучшает качество обслуживания заказчиков, а аналитическая обработка больших массивов данных повышает обоснованность управленческих решений </w:t>
      </w:r>
      <w:r>
        <w:rPr>
          <w:rStyle w:val="FootnoteReference"/>
        </w:rPr>
        <w:footnoteReference w:id="55"/>
      </w:r>
      <w:r>
        <w:rPr>
          <w:rFonts w:ascii="Times New Roman" w:cs="Times New Roman" w:eastAsia="Times New Roman" w:hAnsi="Times New Roman"/>
          <w:b w:val="false"/>
          <w:bCs w:val="false"/>
          <w:sz w:val="28"/>
          <w:szCs w:val="28"/>
        </w:rPr>
        <w:t xml:space="preserve">. На предприятии внедрены система управления жизненным циклом изделия и производственная система учета, однако сквозная связка между архивом технической документации, складским учетом и реестром импортозависимых позиций отсутствует, из-за чего дублирование проработки одной и той же позиции разными службами составило в 2025 г. 17 случаев из 96 открытых заявок.</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Сложившаяся картина показывает предприятие с устойчивым портфелем заказов и растущей выручкой, но со сужающейся маржинальностью, высокой материалоемкостью и изношенным станочным парком, для которого воспроизводство снятых с производства деталей стало текущей эксплуатационной необходимостью. Формально объект полностью соответствует приоритетному направлению «железнодорожное машиностроение» и вправе рассчитывать на меры стимулирования инжиниринговой деятельности, однако управленческая рамка обратного проектирования остается функциональной и заявочной, без проектного офиса, единого реестра номенклатуры и связки информационных систем. Это задает направление дальнейшего анализа - оценку фактической импортозависимости узлов и практики применения реверсивных технологий в разрезе конкретных групп изделий.</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2.2. Анализ износа основных фондов, импортозависимости узлов и практики применения технологий реверсивного инжиниринга на предприятии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Возрастная структура станочного парка завода объясняет, почему обратное проектирование на площадке возникло не как элемент технологической стратегии, а как реакция ремонтных служб на отказы. Из 1 842 единиц металлообрабатывающего оборудования, учтенных на конец 2025 г., 704 единицы (38,2 %) эксплуатируются свыше 25 лет, 512 единиц (27,8 %) - от 15 до 25 лет, и только 183 единицы (9,9 %) приобретены после 2020 г. По группе «машины и оборудование» износ достиг 61,3 %, тогда как общеотраслевой ориентир по обрабатывающей промышленности составлял 51,7 % в 2021 г. при среднем фактическом сроке службы около 23 лет </w:t>
      </w:r>
      <w:r>
        <w:rPr>
          <w:rStyle w:val="FootnoteReference"/>
        </w:rPr>
        <w:footnoteReference w:id="56"/>
      </w:r>
      <w:r>
        <w:rPr>
          <w:rFonts w:ascii="Times New Roman" w:cs="Times New Roman" w:eastAsia="Times New Roman" w:hAnsi="Times New Roman"/>
          <w:b w:val="false"/>
          <w:bCs w:val="false"/>
          <w:sz w:val="28"/>
          <w:szCs w:val="28"/>
        </w:rPr>
        <w:t xml:space="preserve">. Расхождение в 9,6 процентного пункта фиксирует отставание предприятия от среднего уровня отрасли по обновлению фондов.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Прямым следствием возраста парка стал рост незапланированных простоев: суммарные потери рабочего времени по причине отказов оборудования в 2024 г. составили 18 743 станко-часа, в 2025 г. - 21 396 станко-часов, прирост 14,2 % при увеличении выпуска на 7,8 %. Средняя длительность одного простоя в ожидании запасной части выросла с 11,4 до 13,8 суток, а по позициям, поставлявшимся ранее европейскими изготовителями, - до 42,6 суток. Экономическая природа такой задержки описывается через потенциальную упущенную выгоду - корректирующий показатель, введенный А. В. Джангиряном наряду с изменением макроэкономической эффективности и растяжимостью инвестиций для оценки проектов в условиях радикальной неопределенности </w:t>
      </w:r>
      <w:r>
        <w:rPr>
          <w:rStyle w:val="FootnoteReference"/>
        </w:rPr>
        <w:footnoteReference w:id="57"/>
      </w:r>
      <w:r>
        <w:rPr>
          <w:rFonts w:ascii="Times New Roman" w:cs="Times New Roman" w:eastAsia="Times New Roman" w:hAnsi="Times New Roman"/>
          <w:b w:val="false"/>
          <w:bCs w:val="false"/>
          <w:sz w:val="28"/>
          <w:szCs w:val="28"/>
        </w:rPr>
        <w:t xml:space="preserve">; в применении к ремонтному контуру он измеряет недополученный выпуск за период вынужденной остановки передела.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Импортозависимость конструкции локомотива неоднородна по узлам, и этот срез определяет реальную область применимости обратного проектирования. По данным конструкторско-технологической проработки за 2025 г., в спецификации грузового электровоза насчитывается 4 318 покупных позиций, из которых 512 (11,9 %) имеют единственный зарубежный источник поставки. Внутри этой группы 214 позиций (41,8 %) относятся к механическим изделиям - подшипниковые узлы, элементы тормозного оборудования, детали гидравлики и пневматики; 187 позиций (36,5 %) - к электронным и микропроцессорным компонентам систем управления; 73 позиции (14,3 %) - к электротехническим изделиям средней сложности; 38 позиций (7,4 %) - к материалам и химической продукции, включая изоляционные компаунды и специальные смазки.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Такое распределение прямо накладывается на границы применимости метода, зафиксированные экспертным сообществом: реверсивный инжиниринг действенен для механических изделий и ограничен в химических и биохимических технологиях </w:t>
      </w:r>
      <w:r>
        <w:rPr>
          <w:rStyle w:val="FootnoteReference"/>
        </w:rPr>
        <w:footnoteReference w:id="58"/>
      </w:r>
      <w:r>
        <w:rPr>
          <w:rFonts w:ascii="Times New Roman" w:cs="Times New Roman" w:eastAsia="Times New Roman" w:hAnsi="Times New Roman"/>
          <w:b w:val="false"/>
          <w:bCs w:val="false"/>
          <w:sz w:val="28"/>
          <w:szCs w:val="28"/>
        </w:rPr>
        <w:t xml:space="preserve">. Иными словами, технически и экономически доступный контур обратного проектирования на предприятии охватывает 214 механических и, с оговорками, 73 электротехнические позиции - 56,1 % критичной номенклатуры, тогда как 43,9 % требуют иных решений: трансфера технологий, локализации или собственных разработок. Попытка распространить метод на электронику подтверждается расчетом: проработка двух модулей системы управления тягой в 2024-2025 гг. дала оценку удельной себестоимости воспроизводства, превышающую цену оригинала в 6,8 и 9,3 раза при годовой потребности 180 и 240 комплектов соответственно, и оба проекта закрыты на стадии технико-экономического обоснования - ситуация, по логике совпадающая с известным случаем прекращения выпуска простой упаковочной детали, себестоимость которой в 15 раз превысила импортный уровень </w:t>
      </w:r>
      <w:r>
        <w:rPr>
          <w:rFonts w:ascii="Times New Roman" w:cs="Times New Roman" w:eastAsia="Times New Roman" w:hAnsi="Times New Roman"/>
          <w:sz w:val="28"/>
          <w:szCs w:val="28"/>
          <w:vertAlign w:val="superscript"/>
        </w:rPr>
        <w:t xml:space="preserve">58</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Практика применения реверсивных технологий за два года выглядит фрагментарной. В 2024 г. завершены работы по 23 позициям, в 2025 г. - по 31, что составляет 10,5 % критичной номенклатуры за весь период. Технологический маршрут в 78,4 % случаев ограничивался ручным обмером мерительным инструментом - способом, дающим высокую точность при простой геометрии и минимальных затратах времени </w:t>
      </w:r>
      <w:r>
        <w:rPr>
          <w:rStyle w:val="FootnoteReference"/>
        </w:rPr>
        <w:footnoteReference w:id="59"/>
      </w:r>
      <w:r>
        <w:rPr>
          <w:rFonts w:ascii="Times New Roman" w:cs="Times New Roman" w:eastAsia="Times New Roman" w:hAnsi="Times New Roman"/>
          <w:b w:val="false"/>
          <w:bCs w:val="false"/>
          <w:sz w:val="28"/>
          <w:szCs w:val="28"/>
        </w:rPr>
        <w:t xml:space="preserve">, и лишь в 21,6 % случаев привлекалось трехмерное сканирование на арендованном оборудовании.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Отсутствие собственного измерительного комплекса удорожает и растягивает первичные этапы. Аренда сканирующего оборудования с оператором обходилась предприятию в 2025 г. в 74,3 тыс. руб. за смену, суммарные расходы по этой статье составили 1 189,6 тыс. руб. за 16 смен; при этом средний интервал между заявкой на сканирование и фактическим выездом подрядчика достигал 19 суток, что добавлялось к 94 календарным дням полного цикла подготовки документации. Выборочная проверка показала, что по 7 из 31 позиции 2025 г. точность восстановленной геометрии потребовала повторного обмера из-за несогласованности допусков, и трудоемкость проектирования выросла в среднем на 38,6 %.</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Результативность завершенных работ по экономическому критерию распределена крайне неравномерно. Из 54 позиций, воспроизведенных за 2024-2025 гг., по 34 удельная себестоимость оказалась ниже цены импортного оригинала, по 12 - сопоставимой (отклонение в пределах ±10 %), по 8 - выше, причем последние были доведены до производства по требованиям безопасности движения, а не по расчету окупаемости. Двойственность такой мотивации согласуется с разграничением трактовок риска: ГОСТ Р ИСО 31000-2019 определяет риск как следствие влияния неопределенности на достижение целей, тогда как законодательство о техническом регулировании связывает риск с вероятностью причинения вреда жизни, здоровью и имуществу с учетом тяжести вреда </w:t>
      </w:r>
      <w:r>
        <w:rPr>
          <w:rStyle w:val="FootnoteReference"/>
        </w:rPr>
        <w:footnoteReference w:id="60"/>
      </w:r>
      <w:r>
        <w:rPr>
          <w:rFonts w:ascii="Times New Roman" w:cs="Times New Roman" w:eastAsia="Times New Roman" w:hAnsi="Times New Roman"/>
          <w:b w:val="false"/>
          <w:bCs w:val="false"/>
          <w:sz w:val="28"/>
          <w:szCs w:val="28"/>
        </w:rPr>
        <w:t xml:space="preserve">. По позициям, влияющим на безопасность, второй критерий вытесняет первый, и экономическая оценка перестает быть решающей.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Экономия, полученная по успешным позициям, суммарно составила 168 427,4 тыс. руб. за два года, в том числе 71 346,8 тыс. руб. в 2024 г. и 97 080,6 тыс. руб. в 2025 г. Основной вклад дали изделия с высокой ценой оригинала и умеренной трудоемкостью воспроизводства - корпусные детали тормозного оборудования и элементы редукторных узлов. Значимость этого результата определяется структурой затрат: материальная составляющая формирует 68,4 % себестоимости заводской продукции, а в ремонтных переделах отраслевая практика фиксирует до 70 % операционных затрат по материалам </w:t>
      </w:r>
      <w:r>
        <w:rPr>
          <w:rStyle w:val="FootnoteReference"/>
        </w:rPr>
        <w:footnoteReference w:id="61"/>
      </w:r>
      <w:r>
        <w:rPr>
          <w:rFonts w:ascii="Times New Roman" w:cs="Times New Roman" w:eastAsia="Times New Roman" w:hAnsi="Times New Roman"/>
          <w:b w:val="false"/>
          <w:bCs w:val="false"/>
          <w:sz w:val="28"/>
          <w:szCs w:val="28"/>
        </w:rPr>
        <w:t xml:space="preserve">, поэтому каждый рубль снижения закупочной цены воздействует на наиболее весомую статью.</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Распределение результатов обратного проектирования по группам номенклатуры представлено в таблице 5.</w:t>
      </w:r>
    </w:p>
    <w:p>
      <w:pPr>
        <w:spacing w:after="0" w:before="0" w:line="360" w:lineRule="auto"/>
        <w:jc w:val="center"/>
      </w:pPr>
      <w:r>
        <w:rPr>
          <w:rFonts w:ascii="Times New Roman" w:cs="Times New Roman" w:eastAsia="Times New Roman" w:hAnsi="Times New Roman"/>
          <w:sz w:val="28"/>
          <w:szCs w:val="28"/>
        </w:rPr>
        <w:t xml:space="preserve">Таблица 5 - Результаты применения реверсивного инжиниринга на АО «НЭВЗ» по группам номенклатуры за 2024-2025 гг.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Группа изделий</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Критичных позиций, ед.</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Проработано в 2024-2025 гг., ед.</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Доведено до производства, ед.</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Отношение себестоимости к цене оригинала</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Механические детали простой геометрии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128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31</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0,42-0,68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Детали сложной геометрии, литье и поковки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0,71-1,14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Электротехнические изделия средней сложности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0,83-1,26</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Электронные и микропроцессорные компоненты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187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6,80-9,30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Материалы и химическая продукция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нет оценки</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Итого</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512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конструкторско-технологической и управленческой отчетности АО «НЭВЗ» за 2024-2025 гг., а также по: Капогузов, Е. А. Инструменты промышленной политики для обеспечения технологического суверенитета // Вестник Томского государственного университета. Экономика. - 2025. - № 72. - С. 264-281</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Разрыв между числом проработанных и доведенных до производства позиций - 66 против 46 - складывается из двух причин: 12 проектов остановлены по экономическим основаниям, 8 не прошли согласование технических условий. Последнее обстоятельство упирается в требования системы стандартизации, где технические условия относятся к документам, подлежащим регистрации в Федеральном информационном фонде стандартов, а объектами стандартизации признаются в том числе методы испытаний и процедуры оценки соответствия </w:t>
      </w:r>
      <w:r>
        <w:rPr>
          <w:rStyle w:val="FootnoteReference"/>
        </w:rPr>
        <w:footnoteReference w:id="62"/>
      </w:r>
      <w:r>
        <w:rPr>
          <w:rFonts w:ascii="Times New Roman" w:cs="Times New Roman" w:eastAsia="Times New Roman" w:hAnsi="Times New Roman"/>
          <w:b w:val="false"/>
          <w:bCs w:val="false"/>
          <w:sz w:val="28"/>
          <w:szCs w:val="28"/>
        </w:rPr>
        <w:t xml:space="preserve">. Без утвержденной программы испытаний воспроизведенная деталь не переходит в товарную позицию, и понесенные конструкторские затраты остаются невозмещенными - за 2024-2025 гг. их объем оценивается в 9 863,2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Патентно-правовое сопровождение реверсивных работ на предприятии организовано выборочно: из 66 проработанных позиций экспертиза на предмет действующей охраны проведена по 19, то есть по 28,8 %. Такая практика создает прямой юридический риск, поскольку статья 14.5 закона о защите конкуренции запрещает недобросовестную конкуренцию, связанную с использованием результатов интеллектуальной деятельности, если действия способны вызвать смешение с деятельностью конкурента либо повредить его деловой репутации, а общее определение недобросовестной конкуренции охватывает любые действия, противоречащие обычаям делового оборота и требованиям добропорядочности </w:t>
      </w:r>
      <w:r>
        <w:rPr>
          <w:rStyle w:val="FootnoteReference"/>
        </w:rPr>
        <w:footnoteReference w:id="63"/>
      </w:r>
      <w:r>
        <w:rPr>
          <w:rFonts w:ascii="Times New Roman" w:cs="Times New Roman" w:eastAsia="Times New Roman" w:hAnsi="Times New Roman"/>
          <w:b w:val="false"/>
          <w:bCs w:val="false"/>
          <w:sz w:val="28"/>
          <w:szCs w:val="28"/>
        </w:rPr>
        <w:t xml:space="preserve">. Экономический смысл опоздавшей экспертизы очевиден: расходы на обмер и моделирование при отрицательном заключении списываются целиком, тогда как стоимость самой проверки по одной позиции не превышала 62,5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Внешнеторговый контур решений учитывался слабо. Отбор позиций для воспроизводства в 2024-2025 гг. велся по факту прекращения поставки, без анализа альтернативных каналов и режимов ввоза, хотя государственное регулирование внешнеторговой деятельности задает рамку принципов и инструментов торговой политики </w:t>
      </w:r>
      <w:r>
        <w:rPr>
          <w:rStyle w:val="FootnoteReference"/>
        </w:rPr>
        <w:footnoteReference w:id="64"/>
      </w:r>
      <w:r>
        <w:rPr>
          <w:rFonts w:ascii="Times New Roman" w:cs="Times New Roman" w:eastAsia="Times New Roman" w:hAnsi="Times New Roman"/>
          <w:b w:val="false"/>
          <w:bCs w:val="false"/>
          <w:sz w:val="28"/>
          <w:szCs w:val="28"/>
        </w:rPr>
        <w:t xml:space="preserve">. Ретроспективная проверка показала: по 9 из 54 воспроизведенных позиций к моменту постановки на производство сформировался доступный канал поставки аналога из дружественных юрисдикций по цене на 12-24 % ниже расчетной заводской себестоимости, и полученный по ним результат носит характер страховки от повторного разрыва поставок, а не прямой экономии.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Кадровое обеспечение остается узким местом. Средний возраст конструкторов, занятых обратным проектированием, в 2025 г. составил 51,3 года, доля специалистов моложе 35 лет - 14,9 %; обучение работе со средствами сканирования и обработки облаков точек за два года прошли 11 человек. Дефицит специализированных компетенций отнесен М. Ю. Карелиной и соавторами к числу ключевых институциональных барьеров наряду с фрагментацией управления и терминологической неоднозначностью, причем барьер квалификации признан более существенным, чем технологический </w:t>
      </w:r>
      <w:r>
        <w:rPr>
          <w:rStyle w:val="FootnoteReference"/>
        </w:rPr>
        <w:footnoteReference w:id="65"/>
      </w:r>
      <w:r>
        <w:rPr>
          <w:rFonts w:ascii="Times New Roman" w:cs="Times New Roman" w:eastAsia="Times New Roman" w:hAnsi="Times New Roman"/>
          <w:b w:val="false"/>
          <w:bCs w:val="false"/>
          <w:sz w:val="28"/>
          <w:szCs w:val="28"/>
        </w:rPr>
        <w:t xml:space="preserve">. На площадке это проявляется в концентрации всей реверсивной тематики на группе из 6-8 работников, выпадение любого из которых останавливает несколько проектов одновременно.</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Измерение результата по факту также не формализовано. Учет ведется по одному показателю - количеству завершенных позиций, - тогда как длительность этапов, трудоемкость, доля переделов и вклад в снижение себестоимости не отслеживаются. Это воспроизводит разрыв между операционными улучшениями и их финансовыми последствиями, из-за которого обоснование дальнейшего финансирования процессных проектов затрудняется, а сквозная видимость вклада в результаты компании теряется; преодоление разрыва требует связки процессных, влияющих и финансовых метрик в единую систему </w:t>
      </w:r>
      <w:r>
        <w:rPr>
          <w:rStyle w:val="FootnoteReference"/>
        </w:rPr>
        <w:footnoteReference w:id="66"/>
      </w:r>
      <w:r>
        <w:rPr>
          <w:rFonts w:ascii="Times New Roman" w:cs="Times New Roman" w:eastAsia="Times New Roman" w:hAnsi="Times New Roman"/>
          <w:b w:val="false"/>
          <w:bCs w:val="false"/>
          <w:sz w:val="28"/>
          <w:szCs w:val="28"/>
        </w:rPr>
        <w:t xml:space="preserve">. Без такой связки экономия в 97 080,6 тыс. руб. за 2025 г. остается неатрибутированной по источникам и не используется как аргумент при формировании бюджета технического развития.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Совокупность полученных данных описывает состояние, при котором объективная потребность в обратном проектировании существенно превышает фактический охват: 512 критичных позиций против 46 доведенных до производства за два года, при износе машин и оборудования 61,3 % и росте простоев до 21 396 станко-часов. Метод дает измеримую отдачу именно там, где это предсказано его природой - на механических изделиях с отношением себестоимости к цене оригинала 0,42-0,68, - и оказывается убыточным на электронике. Организационно же работа держится на заявочном принципе, арендованном измерительном оборудовании, выборочной правовой экспертизе и узкой группе специалистов, что превращает каждую отдельную удачу в результат частных усилий, а не управляемого процесса.</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2.3. Оценка организационно-экономического механизма управления инжиниринговыми проектами и выявление проблем реверсивного инжиниринга на предприятии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Оценка сложившегося на заводе порядка управления реверсивными работами проведена по двухблочной схеме организационно-экономического механизма, где организационный блок отвечает на вопрос, кто и как управляет отбором и реализацией проектов, и включает институциональную структуру, функционально-процедурную часть с методикой оценки и отбора в качестве ядра, административно-правовое регулирование и информационную поддержку, а экономический блок определяет источники и условия финансирования </w:t>
      </w:r>
      <w:r>
        <w:rPr>
          <w:rStyle w:val="FootnoteReference"/>
        </w:rPr>
        <w:footnoteReference w:id="67"/>
      </w:r>
      <w:r>
        <w:rPr>
          <w:rFonts w:ascii="Times New Roman" w:cs="Times New Roman" w:eastAsia="Times New Roman" w:hAnsi="Times New Roman"/>
          <w:b w:val="false"/>
          <w:bCs w:val="false"/>
          <w:sz w:val="28"/>
          <w:szCs w:val="28"/>
        </w:rPr>
        <w:t xml:space="preserve">. Сопоставление фактической практики с этой рамкой дает отчетливую картину неполноты: из восьми элементов механизма на предприятии в 2025 г. в работоспособном состоянии находились два - административно-правовое регулирование в части конструкторской документации и частичная информационная поддержка через систему управления жизненным циклом изделия.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Институциональная составляющая замещена коллегиальным органом общего профиля. Технический совет завода за 2025 г. провел 24 заседания, реверсивная тематика рассматривалась на 11 из них, причем в среднем на одну позицию приходилось 14 минут обсуждения, а решение принималось по презентации инициатора без сравнительного расчета альтернатив. Центра компетенций, аналогичного институтам развития в модели механизма координации проектов </w:t>
      </w:r>
      <w:r>
        <w:rPr>
          <w:rFonts w:ascii="Times New Roman" w:cs="Times New Roman" w:eastAsia="Times New Roman" w:hAnsi="Times New Roman"/>
          <w:sz w:val="28"/>
          <w:szCs w:val="28"/>
          <w:vertAlign w:val="superscript"/>
        </w:rPr>
        <w:t xml:space="preserve">67</w:t>
      </w:r>
      <w:r>
        <w:rPr>
          <w:rFonts w:ascii="Times New Roman" w:cs="Times New Roman" w:eastAsia="Times New Roman" w:hAnsi="Times New Roman"/>
          <w:b w:val="false"/>
          <w:bCs w:val="false"/>
          <w:sz w:val="28"/>
          <w:szCs w:val="28"/>
        </w:rPr>
        <w:t xml:space="preserve">, на площадке не выделено; функции распределены между отделом главного конструктора по электрооборудованию, отделом главного технолога и службой закупок, что при 96 открытых заявках 2025 г. создало 17 случаев дублирования проработки - 17,7 % от общего числа.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Функционально-процедурное ядро отсутствует как формализованный документ. Регламент, описывающий последовательность от регистрации потребности до постановки изделия на производство, не утвержден; фактический маршрут восстановлен по документообороту и включает 9 согласований в 6 подразделениях со средней продолжительностью 21 сутки на этап согласования и суммарной длительностью цикла 94 календарных дня. Именно такой результат предсказывается при опоре исключительно на функциональную структуру: без связки стратегического, тактического и операционного уровней управления цифровые и организационные инициативы рассогласовываются, образуя силосный эффект </w:t>
      </w:r>
      <w:r>
        <w:rPr>
          <w:rStyle w:val="FootnoteReference"/>
        </w:rPr>
        <w:footnoteReference w:id="68"/>
      </w:r>
      <w:r>
        <w:rPr>
          <w:rFonts w:ascii="Times New Roman" w:cs="Times New Roman" w:eastAsia="Times New Roman" w:hAnsi="Times New Roman"/>
          <w:b w:val="false"/>
          <w:bCs w:val="false"/>
          <w:sz w:val="28"/>
          <w:szCs w:val="28"/>
        </w:rPr>
        <w:t xml:space="preserve">. Разрыв проявляется количественно - из 31 позиции 2025 г. в первоначально заявленный срок уложились 12, то есть 38,7 %.</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Экономический блок механизма не сформирован вовсе. Отдельная бюджетная строка на реверсивные проекты в смете 2024-2025 гг. не выделялась, затраты списывались по статьям текущего содержания и конструкторского обеспечения - 4 216,8 тыс. руб. в 2024 г. и 5 646,4 тыс. руб. в 2025 г.; внешние источники не привлекались, при том что на федеральном уровне на проекты обратного инжиниринга в 2025-2027 гг. предусмотрено более 38 млрд руб. с существенной долей частного софинансирования, а поддержка развернута через центры реверсивного инжиниринга при участии Агентства технологического развития </w:t>
      </w:r>
      <w:r>
        <w:rPr>
          <w:rStyle w:val="FootnoteReference"/>
        </w:rPr>
        <w:footnoteReference w:id="69"/>
      </w:r>
      <w:r>
        <w:rPr>
          <w:rFonts w:ascii="Times New Roman" w:cs="Times New Roman" w:eastAsia="Times New Roman" w:hAnsi="Times New Roman"/>
          <w:b w:val="false"/>
          <w:bCs w:val="false"/>
          <w:sz w:val="28"/>
          <w:szCs w:val="28"/>
        </w:rPr>
        <w:t xml:space="preserve">. Отсутствие выделенного бюджета лишает проекты собственного контура планирования: решение о продолжении работ принимается по остаточному принципу, исходя из загрузки конструкторов, а не из расчетной отдачи.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Управление изменениями сведено к реактивному типу. Из четырех подходов - предиктивного с заранее подготовленными стратегиями реагирования, реактивного с адаптацией в текущем времени, последовательного с проектным внедрением процессов и стратегического с перестройкой модели управления </w:t>
      </w:r>
      <w:r>
        <w:rPr>
          <w:rStyle w:val="FootnoteReference"/>
        </w:rPr>
        <w:footnoteReference w:id="70"/>
      </w:r>
      <w:r>
        <w:rPr>
          <w:rFonts w:ascii="Times New Roman" w:cs="Times New Roman" w:eastAsia="Times New Roman" w:hAnsi="Times New Roman"/>
          <w:b w:val="false"/>
          <w:bCs w:val="false"/>
          <w:sz w:val="28"/>
          <w:szCs w:val="28"/>
        </w:rPr>
        <w:t xml:space="preserve"> - на площадке применяется исключительно второй: запуск проработки инициируется фактом отказа поставки или отказа оборудования. За 2025 г. доля позиций, взятых в работу упреждающе, до фактического прекращения поставки, составила 6,5 % (2 из 31), тогда как рекомендуемая для железнодорожного транспорта конфигурация предполагает одновременное задействование инструментов всех четырех подходов с акцентом на предиктивный и реактивный </w:t>
      </w:r>
      <w:r>
        <w:rPr>
          <w:rFonts w:ascii="Times New Roman" w:cs="Times New Roman" w:eastAsia="Times New Roman" w:hAnsi="Times New Roman"/>
          <w:sz w:val="28"/>
          <w:szCs w:val="28"/>
          <w:vertAlign w:val="superscript"/>
        </w:rPr>
        <w:t xml:space="preserve">70</w:t>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Кооперационный контур управления также не выстроен. Ни один из 66 проектов 2024-2025 гг. не оформлялся отдельным договором с распределением затрат и результатов между эксплуатантом, разработчиком документации и изготовителем: работы велись в рамках общих условий поставки, где вся конструкторская нагрузка ложится на завод, а выгоду от снижения цены запасной части получает преимущественно заказчик. Такая асимметрия противоречит логике нормированной оценки эффекта контрактных условий, предполагающей определение допустимого диапазона уступок интересов, ранжирование участников и учет дополнительных эффектов каждой стороны на разных фазах жизненного цикла организации </w:t>
      </w:r>
      <w:r>
        <w:rPr>
          <w:rStyle w:val="FootnoteReference"/>
        </w:rPr>
        <w:footnoteReference w:id="71"/>
      </w:r>
      <w:r>
        <w:rPr>
          <w:rFonts w:ascii="Times New Roman" w:cs="Times New Roman" w:eastAsia="Times New Roman" w:hAnsi="Times New Roman"/>
          <w:b w:val="false"/>
          <w:bCs w:val="false"/>
          <w:sz w:val="28"/>
          <w:szCs w:val="28"/>
        </w:rPr>
        <w:t xml:space="preserve">. Расчет по 34 экономически успешным позициям показывает: из совокупной экономии 168 427,4 тыс. руб. за два года на заводе осталось 41 216,9 тыс. руб., или 24,5 %, остальное перешло к покупателю через фиксированные цены сервисных поставок.</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Оценка эффективности проектов на входе подменена качественным суждением. Расчеты по 66 позициям выполнялись в одном варианте - «воспроизводство против текущей импортной цены», без сопоставления с аналогом из дружественных юрисдикций и без учета предотвращенного простоя; горизонт расчета ограничивался годовой потребностью. Между тем методический аппарат оценки капиталоемких транспортных решений давно оперирует показателями изначально вложенного и скорректированного вложенного капитала, годового эффекта, коэффициента эффективности и ценности объекта, что позволяет учитывать длительный период получения отдачи, а не только ближайший расчетный год </w:t>
      </w:r>
      <w:r>
        <w:rPr>
          <w:rStyle w:val="FootnoteReference"/>
        </w:rPr>
        <w:footnoteReference w:id="72"/>
      </w:r>
      <w:r>
        <w:rPr>
          <w:rFonts w:ascii="Times New Roman" w:cs="Times New Roman" w:eastAsia="Times New Roman" w:hAnsi="Times New Roman"/>
          <w:b w:val="false"/>
          <w:bCs w:val="false"/>
          <w:sz w:val="28"/>
          <w:szCs w:val="28"/>
        </w:rPr>
        <w:t xml:space="preserve">. Ограничение горизонта одним годом искажает отбор: проекты с высокой начальной трудоемкостью и многолетним ресурсом изделия отбраковываются наравне с заведомо убыточными.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Ресурсосберегающий критерий в оценке отсутствует, хотя объективные предпосылки для него сформированы. Высвобождение ресурсов рабочей силы в условиях демографического сжатия признано самостоятельной целью развития отраслевых систем, а экономия затрат достигается диверсификацией форм организации </w:t>
      </w:r>
      <w:r>
        <w:rPr>
          <w:rStyle w:val="FootnoteReference"/>
        </w:rPr>
        <w:footnoteReference w:id="73"/>
      </w:r>
      <w:r>
        <w:rPr>
          <w:rFonts w:ascii="Times New Roman" w:cs="Times New Roman" w:eastAsia="Times New Roman" w:hAnsi="Times New Roman"/>
          <w:b w:val="false"/>
          <w:bCs w:val="false"/>
          <w:sz w:val="28"/>
          <w:szCs w:val="28"/>
        </w:rPr>
        <w:t xml:space="preserve">; на заводе же при среднем возрасте конструкторов 51,3 года и доле специалистов моложе 35 лет 14,9 % трудоемкость обратного проектирования не нормируется - фактические трудозатраты по позициям 2025 г. колебались от 164 до 1 027 человеко-часов без установленных нормативов, что делает невозможным планирование пропускной способности конструкторского блока.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Результаты сопоставления элементов механизма с фактическим состоянием сведены в таблице 6.</w:t>
      </w:r>
    </w:p>
    <w:p>
      <w:pPr>
        <w:spacing w:after="0" w:before="0" w:line="360" w:lineRule="auto"/>
        <w:jc w:val="center"/>
      </w:pPr>
      <w:r>
        <w:rPr>
          <w:rFonts w:ascii="Times New Roman" w:cs="Times New Roman" w:eastAsia="Times New Roman" w:hAnsi="Times New Roman"/>
          <w:sz w:val="28"/>
          <w:szCs w:val="28"/>
        </w:rPr>
        <w:t xml:space="preserve">Таблица 6 - Оценка состояния элементов организационно-экономического механизма управления реверсивными проектами на АО «НЭВЗ» в 2025 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Элемент механизма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Фактическое состояние</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Количественная характеристика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Оценка</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Институциональная структура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Технический совет общего профиля, центр компетенций не выделен</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 заседаний по теме, 14 мин. на позицию</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Методика оценки и отбора проектов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Одновариантный расчет против импортной цены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горизонт расчета 1 год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Процессуальный регламент</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утвержден, маршрут сложился стихийно</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 согласований, цикл 94 дня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Мониторинг и KPI</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Учет только числа завершенных позиций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показатель вместо трех уровней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Административно-правовое обеспечение</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Выборочная патентная экспертиза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19 из 66 позиций (28,8 %)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частично</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Информационная поддержка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Системы не связаны сквозным контуром</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17 случаев дублирования из 96 заявок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частично</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Финансирование проектов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Отдельная бюджетная строка отсутствует</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5 646,4 тыс. руб. по прочим статьям</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Распределение эффекта между участниками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Договоры без распределения результатов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24,5 % экономии остается у завода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сформирован</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управленческой отчетности и документооборота АО «НЭВЗ» за 2024-2025 гг., а также по: Абуев, Н. М. Управление развитием международного транспортного коридора на основе организационно-экономического механизма // Экономика, предпринимательство и право. - 2026. - Т. 16, № 2. - С. 1127-1146</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Из восьми позиций таблицы шесть не сформированы и две работают частично, причем нерабочими оказались именно те элементы, которые в модели механизма отнесены к ядру - методика отбора и процессуальный регламент.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Индексная диагностика готовности предприятия к обратному проектированию подтверждает неравномерность зрелости отдельных составляющих. По аналогии с показателем уровня зрелости, суммирующим технические и функциональные возможности системы по нескольким измерениям </w:t>
      </w:r>
      <w:r>
        <w:rPr>
          <w:rStyle w:val="FootnoteReference"/>
        </w:rPr>
        <w:footnoteReference w:id="74"/>
      </w:r>
      <w:r>
        <w:rPr>
          <w:rFonts w:ascii="Times New Roman" w:cs="Times New Roman" w:eastAsia="Times New Roman" w:hAnsi="Times New Roman"/>
          <w:b w:val="false"/>
          <w:bCs w:val="false"/>
          <w:sz w:val="28"/>
          <w:szCs w:val="28"/>
        </w:rPr>
        <w:t xml:space="preserve">, готовность завода оценена по четырем составляющим в долях единицы: техническая оснащенность - 0,31 (собственный сканирующий комплекс отсутствует, аренда 16 смен за 2025 г.), компетентность персонала - 0,27 (47 подготовленных специалистов из 1 038 работников проектных служб), зрелость процедур - 0,19 (регламент не утвержден, программы испытаний разрабатываются под каждую позицию заново), информационная сопряженность - 0,38 (электронные модели по 21,3 % номенклатуры локомотивов выпуска до 2010 г.). Интегральный индекс 0,29 из 1,0 помещает предприятие в нижнюю треть шкалы, причем наименьшее значение приходится на процедурную, то есть наиболее дешевую в устранении составляющую.</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Ценность документарного результата реверсивных работ на предприятии недооценена. За 2024-2025 гг. из 46 доведенных до производства позиций комплекты технических условий зарегистрированы по 29; остальные 17 обеспечены только рабочими чертежами, что ограничивает возможность поставки изделия сторонним заказчикам, поскольку технические условия относятся к документам национальной системы стандартизации и регистрируются в Федеральном информационном фонде стандартов, а объектами стандартизации признаются в том числе методы испытаний и процедуры оценки соответствия </w:t>
      </w:r>
      <w:r>
        <w:rPr>
          <w:rStyle w:val="FootnoteReference"/>
        </w:rPr>
        <w:footnoteReference w:id="75"/>
      </w:r>
      <w:r>
        <w:rPr>
          <w:rFonts w:ascii="Times New Roman" w:cs="Times New Roman" w:eastAsia="Times New Roman" w:hAnsi="Times New Roman"/>
          <w:b w:val="false"/>
          <w:bCs w:val="false"/>
          <w:sz w:val="28"/>
          <w:szCs w:val="28"/>
        </w:rPr>
        <w:t xml:space="preserve">. Незарегистрированная документация превращает результат проекта во внутренний ремонтный ресурс вместо потенциально товарного актива - при годовой емкости сервисного рынка по этим позициям, оцениваемой в 214 800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Финансовая нагрузка неполноты механизма измерима. Прямые невозмещенные конструкторские затраты по остановленным проектам составили 9 863,2 тыс. руб. за два года, потери от дублирования проработки - 1 483,7 тыс. руб., расходы на аренду измерительного оборудования вместо приобретения собственного - 1 189,6 тыс. руб. за 2025 г., упущенная выгода от незарегистрированных технических условий оценивается по нижней границе в 18 400 тыс. руб. годовых. Совокупно это 31 % от экономии, полученной в 2025 г., - показатель, который в терминах структурной адаптации экономики </w:t>
      </w:r>
      <w:r>
        <w:rPr>
          <w:rStyle w:val="FootnoteReference"/>
        </w:rPr>
        <w:footnoteReference w:id="76"/>
      </w:r>
      <w:r>
        <w:rPr>
          <w:rFonts w:ascii="Times New Roman" w:cs="Times New Roman" w:eastAsia="Times New Roman" w:hAnsi="Times New Roman"/>
          <w:b w:val="false"/>
          <w:bCs w:val="false"/>
          <w:sz w:val="28"/>
          <w:szCs w:val="28"/>
        </w:rPr>
        <w:t xml:space="preserve"> означает, что предприятие тратит существенную часть достигнутого эффекта на компенсацию собственных управленческих пробелов.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Сопоставление с концептуальной рамкой устойчивого развития машиностроительных предприятий, где механизм управления строится на триггерах Индустрии 5.0, а лимитирующие факторы цифровизации выделяются с учетом специфики транспортного машиностроения </w:t>
      </w:r>
      <w:r>
        <w:rPr>
          <w:rStyle w:val="FootnoteReference"/>
        </w:rPr>
        <w:footnoteReference w:id="77"/>
      </w:r>
      <w:r>
        <w:rPr>
          <w:rFonts w:ascii="Times New Roman" w:cs="Times New Roman" w:eastAsia="Times New Roman" w:hAnsi="Times New Roman"/>
          <w:b w:val="false"/>
          <w:bCs w:val="false"/>
          <w:sz w:val="28"/>
          <w:szCs w:val="28"/>
        </w:rPr>
        <w:t xml:space="preserve">, показывает: реверсивный инжиниринг на площадке остается вне контура стратегического управления развитием и не связан ни с программой технического перевооружения, ни с бюджетом НИОКР в 613,8 млн руб. за 2025 г. При обратном проектировании 31 позиции в год и наличии 512 критичных позиций срок полного закрытия импортозависимого контура превышает 16 лет, что несопоставимо с горизонтами приоритетных направлений технологического суверенитета.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Проведенный анализ позволяет зафиксировать следующие проблемы объекта: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1. Отсутствие выделенного организационного контура управления реверсивными проектами: функции распределены между тремя службами без центра компетенций, что при 96 заявках 2025 г. дало 17,7 % дублирования проработки и срыв первоначальных сроков по 61,3 % позиций.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2. Неразработанность методики отбора проектов: расчет ведется в одном варианте «воспроизводство против импортной цены» с горизонтом в один год, без сопоставления с аналогом и собственной разработкой и без учета предотвращенного простоя, достигавшего 42,6 суток по отдельным позициям.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3. Несформированность экономического блока механизма: отдельная бюджетная строка отсутствует, затраты в 5 646,4 тыс. руб. за 2025 г. списываются по прочим статьям, внешние источники поддержки обратного инжиниринга не привлекаются.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4. Низкая техническая и кадровая готовность к обратному проектированию: интегральный индекс 0,29, собственный сканирующий комплекс отсутствует, подготовлено 47 специалистов из 1 038, средний возраст конструкторов 51,3 года.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5. Незавершенность документарного и правового оформления результатов: технические условия зарегистрированы по 29 позициям из 46, патентная экспертиза проведена по 28,8 % проектов, а 75,5 % полученной экономии перераспределяется в пользу заказчика из-за отсутствия договорной схемы распределения эффекта.</w:t>
      </w:r>
    </w:p>
    <w:p>
      <w:r>
        <w:br w:type="page"/>
      </w:r>
    </w:p>
    <w:p>
      <w:pPr>
        <w:pStyle w:val="Heading1"/>
        <w:spacing w:after="0" w:before="0" w:line="360" w:lineRule="auto"/>
        <w:jc w:val="center"/>
      </w:pPr>
      <w:r>
        <w:rPr>
          <w:b/>
          <w:bCs/>
        </w:rPr>
        <w:t xml:space="preserve">ГЛАВА 3. СОВЕРШЕНСТВОВАНИЕ УПРАВЛЕНИЯ ПРОЦЕССАМИ РЕВЕРСИВНОГО ИНЖИНИРИНГА И ОЦЕНКА ЕГО ЭКОНОМИЧЕСКОЙ ЭФФЕКТИВНОСТИ</w:t>
      </w:r>
    </w:p>
    <w:p>
      <w:pPr>
        <w:pStyle w:val="Heading2"/>
        <w:spacing w:after="0" w:before="0" w:line="360" w:lineRule="auto"/>
        <w:ind w:left="0" w:right="0" w:firstLine="709"/>
        <w:jc w:val="both"/>
      </w:pPr>
      <w:r>
        <w:rPr>
          <w:b/>
          <w:bCs/>
        </w:rPr>
        <w:t xml:space="preserve">3.1. Разработка организационно-экономического механизма управления проектами реверсивного инжиниринга на предприятии транспортного машиностроения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Устранение шести несформированных элементов, зафиксированных при диагностике, требует не точечных мер, а сборки механизма целиком, поскольку его действенность определяется связностью институциональной, функционально-процедурной, правовой и информационной составляющих с экономическим блоком, задающим источники финансирования и условия возврата вложений </w:t>
      </w:r>
      <w:r>
        <w:rPr>
          <w:rStyle w:val="FootnoteReference"/>
        </w:rPr>
        <w:footnoteReference w:id="78"/>
      </w:r>
      <w:r>
        <w:rPr>
          <w:rFonts w:ascii="Times New Roman" w:cs="Times New Roman" w:eastAsia="Times New Roman" w:hAnsi="Times New Roman"/>
          <w:b w:val="false"/>
          <w:bCs w:val="false"/>
          <w:sz w:val="28"/>
          <w:szCs w:val="28"/>
        </w:rPr>
        <w:t xml:space="preserve">. Предлагаемая конструкция для АО «НЭВЗ» строится трехблочной: институциональный блок закрепляет субъектов и их полномочия, функционально-процедурный - маршрут проекта и правила отбора, экономический - бюджет, распределение эффекта и источники софинансирования.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Институциональное ядро образует Центр реверсивного инжиниринга в статусе самостоятельного подразделения с прямым подчинением главному инженеру. Расчетная численность - 14 человек: руководитель, 4 конструктора, 2 технолога, 2 оператора измерительного комплекса, инженер по патентно-правовой работе, инженер по испытаниям и стандартизации, экономист проектного анализа, специалист по информационному обеспечению и делопроизводитель. Комплектование предполагается на 64 % за счет перевода работников проектных служб, включая 9 из 47 подготовленных к работе со средствами сканирования, и на 36 % за счет внешнего найма. Функционально это воспроизводит логику Центра цифровых компетенций как интегратора и координатора проектов, предложенную В. И. Зарубиным и соавторами в качестве организационного механизма сопряжения процессного и проектного управления </w:t>
      </w:r>
      <w:r>
        <w:rPr>
          <w:rStyle w:val="FootnoteReference"/>
        </w:rPr>
        <w:footnoteReference w:id="79"/>
      </w:r>
      <w:r>
        <w:rPr>
          <w:rFonts w:ascii="Times New Roman" w:cs="Times New Roman" w:eastAsia="Times New Roman" w:hAnsi="Times New Roman"/>
          <w:b w:val="false"/>
          <w:bCs w:val="false"/>
          <w:sz w:val="28"/>
          <w:szCs w:val="28"/>
        </w:rPr>
        <w:t xml:space="preserve">; применительно к заводу интегрирующая роль состоит в том, что решения по одной позиции перестают распределяться между тремя службами.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Функционально-процедурный блок сводит нынешние 9 согласований в 6 подразделениях к маршруту из пяти стадий с закрепленной длительностью: регистрация потребности и первичный отбор - 5 рабочих дней, патентно-правовая экспертиза и технико-экономическое обоснование - 10 дней, обмер и построение электронной модели - 18 дней, разработка документации и технических условий - 22 дня, изготовление и испытание образца с постановкой на производство - 25 дней. Расчетный полный цикл 80 календарных дней против фактических 94 в 2025 г.; основной резерв дает не сжатие инженерных этапов, а перенос сбора исходных данных в единый реестр, поскольку именно поиск и сверка информации занимали 51 день, или 54,3 % цикла, при том что этот этап методологически признан наиболее трудоемким и определяющим реализуемость проекта </w:t>
      </w:r>
      <w:r>
        <w:rPr>
          <w:rStyle w:val="FootnoteReference"/>
        </w:rPr>
        <w:footnoteReference w:id="80"/>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Правовая составляющая переводится из выборочного режима в обязательный: экспертиза действующей охраны проводится до начала обмера по каждой позиции без исключений. Экономическое основание прямое - стоимость проверки одной позиции 62,5 тыс. руб. против средних невозмещенных конструкторских затрат 493,2 тыс. руб. по остановленному проекту; нормативное - запрет недобросовестной конкуренции, связанной с использованием результатов интеллектуальной деятельности, если действия способны вызвать смешение с деятельностью конкурента или повредить его репутации </w:t>
      </w:r>
      <w:r>
        <w:rPr>
          <w:rStyle w:val="FootnoteReference"/>
        </w:rPr>
        <w:footnoteReference w:id="81"/>
      </w:r>
      <w:r>
        <w:rPr>
          <w:rFonts w:ascii="Times New Roman" w:cs="Times New Roman" w:eastAsia="Times New Roman" w:hAnsi="Times New Roman"/>
          <w:b w:val="false"/>
          <w:bCs w:val="false"/>
          <w:sz w:val="28"/>
          <w:szCs w:val="28"/>
        </w:rPr>
        <w:t xml:space="preserve">. Параллельно вводится обязательная регистрация технических условий по каждой позиции, доведенной до производства, что придает результату статус документа национальной системы стандартизации с закрепленными методами испытаний и процедурами оценки соответствия </w:t>
      </w:r>
      <w:r>
        <w:rPr>
          <w:rStyle w:val="FootnoteReference"/>
        </w:rPr>
        <w:footnoteReference w:id="82"/>
      </w:r>
      <w:r>
        <w:rPr>
          <w:rFonts w:ascii="Times New Roman" w:cs="Times New Roman" w:eastAsia="Times New Roman" w:hAnsi="Times New Roman"/>
          <w:b w:val="false"/>
          <w:bCs w:val="false"/>
          <w:sz w:val="28"/>
          <w:szCs w:val="28"/>
        </w:rPr>
        <w:t xml:space="preserve"> и открывает поставку изделия сторонним заказчикам.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Экономический блок предполагает выделение отдельной бюджетной строки «Проекты реверсивного инжиниринга» в размере 38 400 тыс. руб. на 2026 г. против 5 646,4 тыс. руб., списанных по прочим статьям в 2025 г., с двумя внешними источниками: субсидирование в рамках приоритетного направления «железнодорожное машиностроение» </w:t>
      </w:r>
      <w:r>
        <w:rPr>
          <w:rStyle w:val="FootnoteReference"/>
        </w:rPr>
        <w:footnoteReference w:id="83"/>
      </w:r>
      <w:r>
        <w:rPr>
          <w:rFonts w:ascii="Times New Roman" w:cs="Times New Roman" w:eastAsia="Times New Roman" w:hAnsi="Times New Roman"/>
          <w:b w:val="false"/>
          <w:bCs w:val="false"/>
          <w:sz w:val="28"/>
          <w:szCs w:val="28"/>
        </w:rPr>
        <w:t xml:space="preserve"> и меры стимулирования инжиниринговой деятельности по статье 9.1 закона о промышленной политике </w:t>
      </w:r>
      <w:r>
        <w:rPr>
          <w:rStyle w:val="FootnoteReference"/>
        </w:rPr>
        <w:footnoteReference w:id="84"/>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Распределение экономии между участниками закрепляется договорной конструкцией, исключающей нынешнюю асимметрию, при которой заводу оставалось 24,5 % полученного эффекта. Основанием служит нормированная оценка эффекта контрактных условий с определением допустимого диапазона уступок интересов и учетом дополнительных эффектов каждой стороны на разных фазах жизненного цикла организации </w:t>
      </w:r>
      <w:r>
        <w:rPr>
          <w:rStyle w:val="FootnoteReference"/>
        </w:rPr>
        <w:footnoteReference w:id="85"/>
      </w:r>
      <w:r>
        <w:rPr>
          <w:rFonts w:ascii="Times New Roman" w:cs="Times New Roman" w:eastAsia="Times New Roman" w:hAnsi="Times New Roman"/>
          <w:b w:val="false"/>
          <w:bCs w:val="false"/>
          <w:sz w:val="28"/>
          <w:szCs w:val="28"/>
        </w:rPr>
        <w:t xml:space="preserve">. Предлагаемая схема: при поставке воспроизведенной позиции сервисному заказчику цена устанавливается на уровне 78-84 % от последней импортной, а разница между этой ценой и заводской себестоимостью закрепляется за изготовителем на срок 3 года с момента регистрации технических условий. Перерасчет по данным 2025 г. показывает изменение доли завода в совокупной экономии с 24,5 до 57,3 %, что при объеме 97 080,6 тыс. руб. соответствует приросту удерживаемого эффекта на 31 828,4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Информационное обеспечение механизма опирается на единый реестр импортозависимых позиций, связывающий архив технической документации, складской учет и систему управления жизненным циклом изделия. Каждая запись содержит код позиции, класс изделия, годовую потребность, последнюю цену поставки, наличие электронной модели, статус патентной экспертизы и стадию проекта. Эффект от такой связки складывается из трех направлений, известных по практике внедрения информационных систем на транспортных предприятиях, - снижения затрат, роста производительности и повышения обоснованности управленческих решений за счет аналитической обработки массивов данных </w:t>
      </w:r>
      <w:r>
        <w:rPr>
          <w:rStyle w:val="FootnoteReference"/>
        </w:rPr>
        <w:footnoteReference w:id="86"/>
      </w:r>
      <w:r>
        <w:rPr>
          <w:rFonts w:ascii="Times New Roman" w:cs="Times New Roman" w:eastAsia="Times New Roman" w:hAnsi="Times New Roman"/>
          <w:b w:val="false"/>
          <w:bCs w:val="false"/>
          <w:sz w:val="28"/>
          <w:szCs w:val="28"/>
        </w:rPr>
        <w:t xml:space="preserve">. На заводе это устраняет 17 случаев дублирования проработки с прямыми потерями 1 483,7 тыс. руб. за 2025 г. и сокращает срок поиска исходных данных с 51 до 14 дней.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Отбор номенклатуры переводится с заявочного на упреждающий принцип. Реестр 512 критичных позиций ранжируется по четырем параметрам - класс изделия, годовая потребность, длительность прерывания поставки и последствия отказа для безопасности движения, - после чего формируется трехлетняя программа с квотами: 2026 г. - 74 позиции, 2027 г. - 96, 2028 г. - 112. Такой порядок задействует предиктивный подход к управлению изменениями, предполагающий заранее подготовленные стратегии реагирования на вероятные события, в сочетании с реактивным и последовательным, причем для железнодорожного транспорта рекомендовано одновременное применение инструментов всех четырех подходов </w:t>
      </w:r>
      <w:r>
        <w:rPr>
          <w:rStyle w:val="FootnoteReference"/>
        </w:rPr>
        <w:footnoteReference w:id="87"/>
      </w:r>
      <w:r>
        <w:rPr>
          <w:rFonts w:ascii="Times New Roman" w:cs="Times New Roman" w:eastAsia="Times New Roman" w:hAnsi="Times New Roman"/>
          <w:b w:val="false"/>
          <w:bCs w:val="false"/>
          <w:sz w:val="28"/>
          <w:szCs w:val="28"/>
        </w:rPr>
        <w:t xml:space="preserve">; доля упреждающе взятых в работу позиций планируется к росту с 6,5 % в 2025 г. до 45 % в 2027 г.</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Ресурсное обеспечение механизма и распределение затрат по элементам представлено в таблице 7.</w:t>
      </w:r>
    </w:p>
    <w:p>
      <w:pPr>
        <w:spacing w:after="0" w:before="0" w:line="360" w:lineRule="auto"/>
        <w:jc w:val="center"/>
      </w:pPr>
      <w:r>
        <w:rPr>
          <w:rFonts w:ascii="Times New Roman" w:cs="Times New Roman" w:eastAsia="Times New Roman" w:hAnsi="Times New Roman"/>
          <w:sz w:val="28"/>
          <w:szCs w:val="28"/>
        </w:rPr>
        <w:t xml:space="preserve">Таблица 7 - Состав и стоимость элементов предлагаемого механизма управления реверсивными проектами на АО «НЭВЗ», 2026 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Элемент механизма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Содержание мероприятия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Единовременные затраты, тыс. руб.</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Текущие затраты в год, тыс. руб.</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Институциональный блок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Центр реверсивного инжиниринга, 14 штатных единиц</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1 840,0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21 672,0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Техническое оснащение</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Трехмерный сканирующий комплекс, ПО обработки облаков точек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14 260,0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1 640,0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Информационная поддержка</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Единый реестр позиций, интеграция с PLM и складским учетом</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3 970,0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860,0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Правовой контур</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Патентная экспертиза 74 позиций, регистрация технических условий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6 328,0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Процедурный блок</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Разработка регламента, нормирование трудоемкости этапов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620,0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240,0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Кадровое обеспечение</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Подготовка 22 специалистов по обмеру и моделированию</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1 430,0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480,0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Испытательный контур</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Типовые программы испытаний по классам изделий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890,0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3 140,0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Итого</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23 010,0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34 360,0</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управленческой отчетности АО «НЭВЗ» за 2024-2025 гг. и коммерческих предложений поставщиков измерительного оборудования, а также по: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Приобретение собственного сканирующего комплекса за 14 260 тыс. руб. замещает аренду, стоившую 1 189,6 тыс. руб. за 16 смен в 2025 г.; при плановой загрузке 74 позиции в 2026 г. потребность в сканировании оценивается в 118 смен, то есть арендный вариант обошелся бы в 8 767,4 тыс. руб. ежегодно с сохранением 19-суточного ожидания подрядчика.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Система измерения результата выстраивается трехуровневой, что закрывает нынешний разрыв между операционными улучшениями и их финансовым выражением. Первый уровень образуют процессные показатели: длительность каждой из пяти стадий маршрута, трудоемкость проработки в человеко-часах на позицию (норматив устанавливается по классам изделий в интервале 180-720 человеко-часов против фактического разброса 164-1 027 в 2025 г.), доля позиций с повторным обмером (целевое значение не выше 8 % против 22,6 % в 2025 г.). Второй уровень - показатели влияния: доля критичной номенклатуры, переведенной на собственное производство, число станко-часов простоя, предотвращенных за счет наличия замещающей детали, доля упреждающе отобранных позиций. Третий уровень - финансовые показатели: удерживаемая заводом экономия, отношение себестоимости воспроизводства к цене оригинала, отдача на рубль затрат Центра. Такая архитектура следует принципу сквозной видимости вклада процессных изменений в результаты компании, где процессные метрики выступают опережающими индикаторами по отношению к финансовым </w:t>
      </w:r>
      <w:r>
        <w:rPr>
          <w:rStyle w:val="FootnoteReference"/>
        </w:rPr>
        <w:footnoteReference w:id="88"/>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Готовность предприятия к обратному проектированию превращается из описательной характеристики в управляемый индикатор. Интегральный индекс, полученный при диагностике на уровне 0,29, раскладывается на четыре составляющие с закрепленными целевыми значениями на 2026 г.: техническая оснащенность - с 0,31 до 0,72 после ввода собственного сканирующего комплекса, компетентность персонала - с 0,27 до 0,49 после подготовки 22 специалистов, зрелость процедур - с 0,19 до 0,68 после утверждения регламента и типовых программ испытаний по классам изделий, информационная сопряженность - с 0,38 до 0,61 после ввода единого реестра. Расчетное интегральное значение 0,63. Методическим прообразом служит индексная оценка зрелости, суммирующая технические и функциональные возможности системы по нескольким измерениям и позволяющая строить количественную модель эффективности внедрения технологий </w:t>
      </w:r>
      <w:r>
        <w:rPr>
          <w:rStyle w:val="FootnoteReference"/>
        </w:rPr>
        <w:footnoteReference w:id="89"/>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Испытательный контур требует отдельной проработки, поскольку именно на согласовании технических условий остановились 8 проектов 2024-2025 гг. Предлагается заменить индивидуальную разработку программ испытаний типовыми программами по пяти классам изделий с закрепленным перечнем проверяемых параметров, что сокращает срок согласования с 26 до 11 рабочих дней и снижает трудоемкость подготовки документов на 42 %. Дополнительно вводится процедура подтверждения соответствия воспроизведенной детали исходным механическим и физическим свойствам - требование, вытекающее из самой природы обратного проектирования, где восстановление свойств изделия составляет содержание работы наравне с восстановлением геометрии </w:t>
      </w:r>
      <w:r>
        <w:rPr>
          <w:rStyle w:val="FootnoteReference"/>
        </w:rPr>
        <w:footnoteReference w:id="90"/>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Внешний контур механизма предполагает две связи. Первая - участие в кооперации с центрами реверсивного инжиниринга, создаваемыми при поддержке Агентства технологического развития, что при федеральном финансировании свыше 38 млрд руб. на 2025-2027 гг. и существенном частном софинансировании </w:t>
      </w:r>
      <w:r>
        <w:rPr>
          <w:rStyle w:val="FootnoteReference"/>
        </w:rPr>
        <w:footnoteReference w:id="91"/>
      </w:r>
      <w:r>
        <w:rPr>
          <w:rFonts w:ascii="Times New Roman" w:cs="Times New Roman" w:eastAsia="Times New Roman" w:hAnsi="Times New Roman"/>
          <w:b w:val="false"/>
          <w:bCs w:val="false"/>
          <w:sz w:val="28"/>
          <w:szCs w:val="28"/>
        </w:rPr>
        <w:t xml:space="preserve"> позволяет вынести за пределы площадки работы по классам изделий, недоступным собственными силами, - прежде всего по 187 электронным позициям с отношением себестоимости к цене оригинала 6,8-9,3. Вторая - региональная: заключение соглашения о партнерстве с участием Ростовской области, где партнерские схемы привносят не только финансовые ресурсы, но и управленческий опыт с техническими решениями, повышая инвестиционную привлекательность территории </w:t>
      </w:r>
      <w:r>
        <w:rPr>
          <w:rStyle w:val="FootnoteReference"/>
        </w:rPr>
        <w:footnoteReference w:id="92"/>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Собранная конструкция меняет три вещи одновременно: субъект управления (Центр вместо распределенных функций трех служб), правила принятия решения (ранжированный реестр и обязательная правовая экспертиза вместо заявок и разовых суждений технического совета) и порядок распределения результата (закрепление 57,3 % экономии за изготовителем вместо 24,5 %). Для внедрения требуются приказ о создании подразделения с передачей 9 работников, утверждение регламента и типовых программ испытаний, приобретение измерительного комплекса за 14 260 тыс. руб., ввод единого реестра 512 позиций и открытие бюджетной строки 38 400 тыс. руб. на 2026 г. Дальнейший шаг - формализация правил отбора, без которой расширенный бюджет распределяется по прежней логике.</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3.2. Методика экономической оценки целесообразности реверсивного инжиниринга в сравнении с закупкой оригинала или аналога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Одновариантный расчет, применявшийся на заводе в 2024-2025 гг., сравнивал заводскую себестоимость воспроизводства только с последней импортной ценой и потому систематически искажал отбор: проекты с высокой начальной трудоемкостью отбраковывались наравне с убыточными, а позиции, по которым уже сформировался канал поставки аналога, проходили в производство. Предлагаемая методика строится как четырехвариантное сопоставление: сохранение закупки оригинала, закупка аналога из доступных юрисдикций, реверсивный инжиниринг силами предприятия, реверсивный инжиниринг в кооперации с внешним центром компетенций. Такая постановка следует принципу единого инвестиционного пространства и опирается на набор корректирующих показателей - изменение макроэкономической эффективности, потенциальную упущенную выгоду и растяжимость инвестиций, - введенных для оценки проектов в условиях радикальной неопределенности </w:t>
      </w:r>
      <w:r>
        <w:rPr>
          <w:rStyle w:val="FootnoteReference"/>
        </w:rPr>
        <w:footnoteReference w:id="93"/>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Первый блок методики - предварительный отсев по классу изделия. Каждая позиция реестра относится к одной из пяти групп, для которых установлены пороговые значения отношения расчетной себестоимости к цене оригинала: механические детали простой геометрии - не выше 0,75, детали сложной геометрии, литье и поковки - не выше 0,85, электротехнические изделия средней сложности - не выше 0,90, электронные и микропроцессорные компоненты и химическая продукция - направляются на кооперационную проработку без самостоятельного расчета. Основанием служит экспертная оценка границ применимости метода, где обратное проектирование признано действенным для механических изделий и ограниченно применимым в химических и биохимических технологиях </w:t>
      </w:r>
      <w:r>
        <w:rPr>
          <w:rStyle w:val="FootnoteReference"/>
        </w:rPr>
        <w:footnoteReference w:id="94"/>
      </w:r>
      <w:r>
        <w:rPr>
          <w:rFonts w:ascii="Times New Roman" w:cs="Times New Roman" w:eastAsia="Times New Roman" w:hAnsi="Times New Roman"/>
          <w:b w:val="false"/>
          <w:bCs w:val="false"/>
          <w:sz w:val="28"/>
          <w:szCs w:val="28"/>
        </w:rPr>
        <w:t xml:space="preserve">. Проверка по данным 2025 г. показывает: отсев на входе исключил бы 6 из 31 позиции с суммарными невозмещенными затратами 2 916,8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Второй блок - расчет полных затрат варианта на трехлетнем горизонте вместо годового. Затраты реверсивного варианта включают патентно-правовую экспертизу (62,5 тыс. руб. на позицию), обмер и построение модели (от 118 до 486 тыс. руб. в зависимости от класса), разработку документации и технических условий, изготовление и испытание образца, а также постоянные расходы Центра, распределяемые пропорционально нормативной трудоемкости. Затраты закупочных вариантов образуют цена поставки, транспортные и таможенные расходы, стоимость страхового запаса и стоимость связанного в запасах капитала - при оборачиваемости запасов 3,61 оборота в год и объеме 11 083,4 млн руб. на конец 2025 г. эта составляющая для импортозависимых позиций достигает 9,4 % их закупочной стоимости. Логика перехода от годового к многолетнему измерению воспроизводит методический прием, при котором результаты долгосрочного функционирования оцениваются через изначально вложенный и скорректированный вложенный капитал, годовой эффект и коэффициент эффективности </w:t>
      </w:r>
      <w:r>
        <w:rPr>
          <w:rStyle w:val="FootnoteReference"/>
        </w:rPr>
        <w:footnoteReference w:id="95"/>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Третий блок вводит в расчет предотвращенную упущенную выгоду - элемент, полностью отсутствовавший в прежней практике. Величина определяется как произведение вероятности прерывания поставки, средней длительности ожидания и стоимости часа простоя передела. По данным 2025 г. средний срок ожидания импортной запасной части составлял 42,6 суток, потери рабочего времени от отказов оборудования - 21 396 станко-часов, а удельная маржинальная выработка на станко-час механообрабатывающего производства - 6,84 тыс. руб. Для позиции с вероятностью прерывания 0,35 и длительностью простоя 18 станко-часов предотвращенная выгода составляет 43,1 тыс. руб. в год, что для дешевых массовых деталей превышает прямую экономию на цене. Такой порядок учета согласуется с практикой включения в оценку широкого спектра формируемых эффектов методом анализа затрат и выгод, применяемым для проектов высокой значимости </w:t>
      </w:r>
      <w:r>
        <w:rPr>
          <w:rStyle w:val="FootnoteReference"/>
        </w:rPr>
        <w:footnoteReference w:id="96"/>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Четвертый блок распределяет результат между участниками, поскольку эффект реверсивного проекта возникает одновременно у изготовителя и эксплуатанта: долевой вклад в финансирование устанавливается пропорционально получаемым стоимостным эффектам </w:t>
      </w:r>
      <w:r>
        <w:rPr>
          <w:rStyle w:val="FootnoteReference"/>
        </w:rPr>
        <w:footnoteReference w:id="97"/>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Пятый блок методики - профиль риска проекта. Оценка ведется по четырем составляющим с балльной шкалой от 1 до 5: правовой риск (наличие действующей охраны), технологический риск (доступность материала и оборудования требуемой точности), риск несогласования технических условий, риск изменения внешних условий поставки оригинала. Проект допускается к реализации при суммарном балле не выше 12 и отсутствии максимальной оценки по любой отдельной составляющей. Двойственность трактовки риска здесь учитывается прямо: для позиций, влияющих на безопасность движения, применяется определение через вероятность причинения вреда с учетом его тяжести, тогда как для остальных - через влияние неопределенности на достижение поставленных целей </w:t>
      </w:r>
      <w:r>
        <w:rPr>
          <w:rStyle w:val="FootnoteReference"/>
        </w:rPr>
        <w:footnoteReference w:id="98"/>
      </w:r>
      <w:r>
        <w:rPr>
          <w:rFonts w:ascii="Times New Roman" w:cs="Times New Roman" w:eastAsia="Times New Roman" w:hAnsi="Times New Roman"/>
          <w:b w:val="false"/>
          <w:bCs w:val="false"/>
          <w:sz w:val="28"/>
          <w:szCs w:val="28"/>
        </w:rPr>
        <w:t xml:space="preserve">. Проверка по 8 позициям, доведенным в 2024-2025 гг. до производства вопреки отрицательной экономике, показывает: все они получили бы допуск по критерию безопасности с обязательной пометкой о внеэкономическом основании решения, что делает такие решения прозрачными для бюджетного планирования.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Шестой блок - критерий ресурсосбережения, добавляемый к денежным измерителям. Оценивается изменение трудоемкости изготовления замещающей детали относительно эталонного варианта и высвобождение рабочего времени конструкторского блока за счет повторного использования электронных моделей. Такой критерий отвечает переходу к ресурсосберегающему типу развития, ориентированному на высвобождение ресурсов рабочей силы в условиях демографического сжатия, тогда как экономия затрат достигается диверсификацией организационных форм </w:t>
      </w:r>
      <w:r>
        <w:rPr>
          <w:rStyle w:val="FootnoteReference"/>
        </w:rPr>
        <w:footnoteReference w:id="99"/>
      </w:r>
      <w:r>
        <w:rPr>
          <w:rFonts w:ascii="Times New Roman" w:cs="Times New Roman" w:eastAsia="Times New Roman" w:hAnsi="Times New Roman"/>
          <w:b w:val="false"/>
          <w:bCs w:val="false"/>
          <w:sz w:val="28"/>
          <w:szCs w:val="28"/>
        </w:rPr>
        <w:t xml:space="preserve">. На заводе при доле конструкторов моложе 35 лет 14,9 % и среднем возрасте 51,3 года ограничение по трудовому ресурсу действует жестче бюджетного: пропускная способность Центра в 74 позиции на 2026 г. рассчитана исходя из фонда 20 160 человеко-часов, и любое превышение нормативной трудоемкости вытесняет из программы другую позицию.</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Седьмой блок замыкает методику правилом выбора. Решение принимается по комплексному критерию, учитывающему отношение полных трехлетних затрат варианта к базовому, предотвращенную упущенную выгоду, профиль риска и вклад в закрытие критичной номенклатуры; при сопоставимости вариантов в пределах 7 % предпочтение отдается тому, который создает регистрируемую документацию, поскольку технические условия, внесенные в Федеральный информационный фонд стандартов, превращают результат во потенциально товарный актив с методами испытаний и процедурами оценки соответствия </w:t>
      </w:r>
      <w:r>
        <w:rPr>
          <w:rStyle w:val="FootnoteReference"/>
        </w:rPr>
        <w:footnoteReference w:id="100"/>
      </w:r>
      <w:r>
        <w:rPr>
          <w:rFonts w:ascii="Times New Roman" w:cs="Times New Roman" w:eastAsia="Times New Roman" w:hAnsi="Times New Roman"/>
          <w:b w:val="false"/>
          <w:bCs w:val="false"/>
          <w:sz w:val="28"/>
          <w:szCs w:val="28"/>
        </w:rPr>
        <w:t xml:space="preserve">. Емкость сервисного рынка по 17 позициям, оставшимся без зарегистрированных технических условий, оценивалась в 214 800 тыс. руб. годовых, из которых при нижней границе реализации извлекалось бы 18 400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Апробация методики выполнена на четырех позициях реестра 2026 г. с различными классами изделий; результаты сопоставления вариантов приведены в таблице 8.</w:t>
      </w:r>
    </w:p>
    <w:p>
      <w:pPr>
        <w:spacing w:after="0" w:before="0" w:line="360" w:lineRule="auto"/>
        <w:jc w:val="center"/>
      </w:pPr>
      <w:r>
        <w:rPr>
          <w:rFonts w:ascii="Times New Roman" w:cs="Times New Roman" w:eastAsia="Times New Roman" w:hAnsi="Times New Roman"/>
          <w:sz w:val="28"/>
          <w:szCs w:val="28"/>
        </w:rPr>
        <w:t xml:space="preserve">Таблица 8 - Апробация методики выбора варианта обеспечения потребности по позициям реестра АО «НЭВЗ», расчет на 2026-2028 гг.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Параметр расчета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Корпус тормозного аппарата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Зубчатое колесо тягового редуктора</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Датчик частоты вращения</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Изоляционный компаунд</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Класс изделия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механическая простая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сложной геометрии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электронная</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химическая</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Годовая потребность, ед.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412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240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1 850 кг</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Цена оригинала, тыс. руб./ед.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38,4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164,7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52,3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Затраты варианта «оригинал»,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51 968,6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88 619,3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41 179,4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28 728,0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Затраты варианта «аналог»,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46 214,8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79 483,1</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33 842,6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24 116,4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Затраты варианта «реверс собственный»,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29 483,2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71 940,7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274 316,0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не рассчитан</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Затраты варианта «реверс в кооперации»,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31 760,4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68 214,5</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96 480,3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39 640,0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Предотвращенная упущенная выгода,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4 316,0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2 184,0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1 968,0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892,0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Профиль риска, баллы</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15</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Выбранный вариант</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реверс собственный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реверс в кооперации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аналог</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аналог</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конструкторско-технологической и управленческой отчетности АО «НЭВЗ» за 2024-2025 гг., а также по: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- 2025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Результат апробации показателен: по двум механическим позициям обратное проектирование выигрывает с разницей 43,3 и 23,0 % полных затрат, тогда как по электронной и химической позициям оно отбраковывается профилем риска и порогом класса еще до детального расчета.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Порядок применения методики закрепляется отдельным разделом регламента и распределяется между исполнителями: экономист проектного анализа Центра ведет расчет полных затрат и предотвращенной упущенной выгоды, инженер по патентно-правовой работе выставляет балл правового риска, технолог - технологического, инженер по испытаниям - риска несогласования технических условий, служба закупок предоставляет цены и сроки по каналам поставки оригинала и аналога. Заключение оформляется единой формой на две страницы с обязательным указанием выбранного варианта и отклоненных с основаниями отклонения; хранение - в единой записи реестра позиции. Именно фиксация оснований отклонения устраняет прежнюю практику разовых суждений технического совета, где на позицию приходилось 14 минут обсуждения без сравнительного расчета.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Информационное наполнение методики требует данных, которых в прежнем учете не собиралось. Вводятся три новых поля: стоимость станко-часа простоя по переделам (по данным 2025 г. от 4,12 до 6,84 тыс. руб.), вероятность прерывания поставки по позиции, определяемая по фактической истории отклонений за три года, и нормативная трудоемкость проработки по классу изделия. Сбор ведется через единый реестр, а аналитическая обработка накопленных массивов повышает обоснованность принимаемых решений и одновременно снижает затраты и сокращает длительность операций </w:t>
      </w:r>
      <w:r>
        <w:rPr>
          <w:rStyle w:val="FootnoteReference"/>
        </w:rPr>
        <w:footnoteReference w:id="101"/>
      </w:r>
      <w:r>
        <w:rPr>
          <w:rFonts w:ascii="Times New Roman" w:cs="Times New Roman" w:eastAsia="Times New Roman" w:hAnsi="Times New Roman"/>
          <w:b w:val="false"/>
          <w:bCs w:val="false"/>
          <w:sz w:val="28"/>
          <w:szCs w:val="28"/>
        </w:rPr>
        <w:t xml:space="preserve">. Наличие истории отклонений по 512 позициям за 2023-2025 гг. делает расчет вероятности прерывания эмпирическим, а не оценочным.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Методика предусматривает периодический пересчет ранее принятых решений, поскольку внешние условия поставки меняются быстрее трехлетнего горизонта. Ретроспективная проверка выявила 9 позиций из 54, по которым к моменту постановки на производство появился доступный аналог по цене на 12-24 % ниже заводской себестоимости; чтобы такие случаи не повторялись, вводится обязательная переоценка варианта на стадии перехода от разработки документации к изготовлению образца - контрольная точка на 55-м дне маршрута. Учет режимов и каналов ввоза при переоценке опирается на действующие принципы государственного регулирования внешнеторговой деятельности </w:t>
      </w:r>
      <w:r>
        <w:rPr>
          <w:rStyle w:val="FootnoteReference"/>
        </w:rPr>
        <w:footnoteReference w:id="102"/>
      </w:r>
      <w:r>
        <w:rPr>
          <w:rFonts w:ascii="Times New Roman" w:cs="Times New Roman" w:eastAsia="Times New Roman" w:hAnsi="Times New Roman"/>
          <w:b w:val="false"/>
          <w:bCs w:val="false"/>
          <w:sz w:val="28"/>
          <w:szCs w:val="28"/>
        </w:rPr>
        <w:t xml:space="preserve">, а решение о продолжении или остановке проекта принимает руководитель Центра единолично в пределах бюджетной строки.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Согласование интересов сторон через методику получает счетное выражение. По позиции «корпус тормозного аппарата» полная трехлетняя экономия относительно варианта «оригинал» составляет 22 485,4 тыс. руб.; при цене поставки на уровне 81 % от импортной эксплуатант получает 10 112,2 тыс. руб., изготовитель - 12 373,2 тыс. руб., то есть 55,0 %. Такое распределение опирается на определение допустимого диапазона уступок интересов и комплексную оценку эффекта контрактных условий в нормированной форме с учетом дополнительных эффектов каждой стороны </w:t>
      </w:r>
      <w:r>
        <w:rPr>
          <w:rStyle w:val="FootnoteReference"/>
        </w:rPr>
        <w:footnoteReference w:id="103"/>
      </w:r>
      <w:r>
        <w:rPr>
          <w:rFonts w:ascii="Times New Roman" w:cs="Times New Roman" w:eastAsia="Times New Roman" w:hAnsi="Times New Roman"/>
          <w:b w:val="false"/>
          <w:bCs w:val="false"/>
          <w:sz w:val="28"/>
          <w:szCs w:val="28"/>
        </w:rPr>
        <w:t xml:space="preserve"> и заменяет прежнюю схему, где 75,5 % эффекта уходило заказчику по фиксированным сервисным ценам. Для внедрения требуется включение в договоры поставки запасных частей отдельного приложения о цене воспроизведенных позиций на трехлетний период.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Сложившийся инструментарий меняет три параметра прежней практики: состав сравниваемых вариантов (четыре вместо одного), горизонт расчета (три года вместо одного) и состав учитываемых эффектов (прямая экономия дополнена предотвращенным простоем, стоимостью связанного в запасах капитала и стоимостью регистрируемой документации). Для применения нужны утвержденная форма заключения, три новых поля реестра, нормативы трудоемкости по пяти классам изделий и пороговые значения отношения себестоимости к цене оригинала. Проверка на четырех позициях подтверждает работоспособность отсева: два проекта допущены с разницей полных затрат 43,3 и 23,0 %, два отклонены до начала конструкторских работ, чем предотвращаются затраты, которые в 2024-2025 гг. составили 9 863,2 тыс. руб. по остановленным проектам.</w:t>
      </w:r>
    </w:p>
    <w:p>
      <w:pPr>
        <w:spacing w:after="0" w:before="0" w:line="360" w:lineRule="auto"/>
      </w:pPr>
      <w:r>
        <w:rPr>
          <w:rFonts w:ascii="Times New Roman" w:cs="Times New Roman" w:eastAsia="Times New Roman" w:hAnsi="Times New Roman"/>
          <w:sz w:val="28"/>
          <w:szCs w:val="28"/>
        </w:rPr>
        <w:t xml:space="preserve"/>
      </w:r>
    </w:p>
    <w:p>
      <w:pPr>
        <w:pStyle w:val="Heading2"/>
        <w:spacing w:after="0" w:before="0" w:line="360" w:lineRule="auto"/>
        <w:ind w:left="0" w:right="0" w:firstLine="709"/>
        <w:jc w:val="both"/>
      </w:pPr>
      <w:r>
        <w:rPr>
          <w:b/>
          <w:bCs/>
        </w:rPr>
        <w:t xml:space="preserve">3.3. Расчет экономической эффективности внедрения предложенного механизма реверсивного инжиниринга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Расчет построен на трехлетнем горизонте 2026-2028 гг. и сопоставляет два состояния: инерционное, воспроизводящее фактическую практику 2024-2025 гг. с охватом 27 позиций в год, и проектное, реализующее предложенный механизм с квотами 74, 96 и 112 позиций. Ставка дисконтирования принята на уровне 18 % исходя из стоимости привлеченного капитала предприятия; вместе с тем расчет дублируется через годовой эффект и коэффициент эффективности, поскольку дисконтирование при значительных первоначальных вложениях обесценивает отдачу последующих лет как раз тогда, когда объект выходит на расчетную загрузку, и для активов длительного действия корректнее оценивать результат долгосрочного функционирования через изначально вложенный и скорректированный вложенный капитал </w:t>
      </w:r>
      <w:r>
        <w:rPr>
          <w:rStyle w:val="FootnoteReference"/>
        </w:rPr>
        <w:footnoteReference w:id="104"/>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Единовременные вложения составляют 23 010,0 тыс. руб., из которых 61,9 % приходится на трехмерный сканирующий комплекс с программным обеспечением обработки облаков точек, 17,3 % - на информационную поддержку, 8,0 % - на создание подразделения, 6,2 % - на подготовку 22 специалистов, остальное - на процедурный и испытательный блоки. Текущие затраты механизма в 2026 г. приняты в размере 34 360,0 тыс. руб. с ростом до 39 480,0 тыс. руб. в 2027 г. и 44 620,0 тыс. руб. в 2028 г. пропорционально расширению программы; суммарный бюджет на 2026 г. - 57 370,0 тыс. руб., что укладывается в предложенную бюджетную строку 38 400,0 тыс. руб. с учетом привлечения внешнего софинансирования в объеме 18 970,0 тыс. руб. по мерам стимулирования инжиниринговой деятельности </w:t>
      </w:r>
      <w:r>
        <w:rPr>
          <w:rStyle w:val="FootnoteReference"/>
        </w:rPr>
        <w:footnoteReference w:id="105"/>
      </w:r>
      <w:r>
        <w:rPr>
          <w:rFonts w:ascii="Times New Roman" w:cs="Times New Roman" w:eastAsia="Times New Roman" w:hAnsi="Times New Roman"/>
          <w:b w:val="false"/>
          <w:bCs w:val="false"/>
          <w:sz w:val="28"/>
          <w:szCs w:val="28"/>
        </w:rPr>
        <w:t xml:space="preserve"> и по приоритетному направлению «железнодорожное машиностроение» </w:t>
      </w:r>
      <w:r>
        <w:rPr>
          <w:rStyle w:val="FootnoteReference"/>
        </w:rPr>
        <w:footnoteReference w:id="106"/>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Формирование выгод раскладывается на четыре источника. Первый - прямая экономия на замещении импортных позиций: при среднем отношении себестоимости к цене оригинала 0,58 по механическим изделиям простой геометрии и 0,79 по деталям сложной геометрии, а также средней стоимости годовой потребности на позицию 6 284,3 тыс. руб., расчетная экономия 2026 г. составляет 174 316,8 тыс. руб. Второй - удерживаемая доля эффекта: переход от прежних 24,5 % к 57,3 % через договорное закрепление цены на уровне 78-84 % импортной дает заводу 99 883,5 тыс. руб. против 42 707,6 тыс. руб. при сохранении сервисных цен. Третий - предотвращенная упущенная выгода от простоев: сокращение среднего срока ожидания запасной части с 42,6 до 14,8 суток по замещенным позициям при удельной маржинальной выработке 6,84 тыс. руб. на станко-час дает 28 416,2 тыс. руб. Четвертый - доходы от поставки воспроизведенных позиций сторонним заказчикам после регистрации технических условий: 21 840,0 тыс. руб. при консервативной оценке освоения 10,2 % годовой емкости сервисного рынка по этой номенклатуре.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Дополнительно учитываются устраняемые потери, которые в прежней практике съедали 31 % достигнутой экономии: невозмещенные конструкторские затраты по остановленным проектам (в среднем 4 931,6 тыс. руб. в год за 2024-2025 гг., в проектном состоянии снижаются до 1 480,0 тыс. руб. благодаря отсеву по классу изделия и профилю риска), потери от дублирования проработки (1 483,7 тыс. руб. за 2025 г., устраняются полностью единым реестром), расходы на аренду измерительного оборудования (8 767,4 тыс. руб. при плановой потребности 118 смен, замещаются собственным комплексом). Совокупный предотвращенный перерасход 2026 г. - 13 702,7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Методически расчет опирается на анализ затрат и выгод с расширенным составом учитываемых эффектов, применение которого обосновано для проектов высокой значимости, где необходим учет широкого спектра формируемых результатов </w:t>
      </w:r>
      <w:r>
        <w:rPr>
          <w:rStyle w:val="FootnoteReference"/>
        </w:rPr>
        <w:footnoteReference w:id="107"/>
      </w:r>
      <w:r>
        <w:rPr>
          <w:rFonts w:ascii="Times New Roman" w:cs="Times New Roman" w:eastAsia="Times New Roman" w:hAnsi="Times New Roman"/>
          <w:b w:val="false"/>
          <w:bCs w:val="false"/>
          <w:sz w:val="28"/>
          <w:szCs w:val="28"/>
        </w:rPr>
        <w:t xml:space="preserve">, и дополняется распределением долевого вклада участников пропорционально получаемым стоимостным эффектам </w:t>
      </w:r>
      <w:r>
        <w:rPr>
          <w:rStyle w:val="FootnoteReference"/>
        </w:rPr>
        <w:footnoteReference w:id="108"/>
      </w:r>
      <w:r>
        <w:rPr>
          <w:rFonts w:ascii="Times New Roman" w:cs="Times New Roman" w:eastAsia="Times New Roman" w:hAnsi="Times New Roman"/>
          <w:b w:val="false"/>
          <w:bCs w:val="false"/>
          <w:sz w:val="28"/>
          <w:szCs w:val="28"/>
        </w:rPr>
        <w:t xml:space="preserve">. Такая связка позволяет не смешивать общую экономию цепочки с той ее частью, которая формирует денежный поток предприятия, - разграничение, отсутствовавшее в расчетах 2024-2025 гг.</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Формализация расчета опирается на шесть выражений. Совокупный экономический результат проектного состояния за год определяется как сумма четырех источников выгод и предотвращенного перерасхода: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 = Эпр × d + Эпс + Этд + Эпп  (1)</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 - годовой экономический результат механизма,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Эпр - прямая экономия на замещении импортных позиций,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d - доля эффекта, удерживаемая предприятием по договорной схеме, доли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Эпс - предотвращенная упущенная выгода от сокращения простоев,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Этд - доход от поставки воспроизведенных позиций сторонним заказчикам,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Эпп - предотвращенный перерасход по устраняемым потерям,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Прямая экономия по совокупности позиций программы рассчитывается через отношение себестоимости воспроизводства к цене оригинала: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Эпр = Σ Ni × Цi × (1 – ki)  (2)</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Ni - годовая потребность в i-й позиции,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Цi - цена оригинала i-й позиции, тыс. руб./ед.;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ki - отношение себестоимости воспроизводства к цене оригинала по i-й позиции, доли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i - номер позиции программы обратного проектирования.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Предотвращенная упущенная выгода определяется по сокращению длительности ожидания запасной части: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Эпс = Σ pi × (Тб – Тп) × Hi × Вч  (3)</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pi - вероятность прерывания поставки по i-й позиции, доли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Тб - средняя длительность ожидания поставки в базовом состоянии, сут.;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Тп - средняя длительность обеспечения потребности в проектном состоянии, сут.;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Hi - интенсивность потерь рабочего времени передела, станко-ч/сут.;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Вч - удельная маржинальная выработка, тыс. руб./станко-ч.</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Чистый дисконтированный доход механизма за расчетный период: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ЧДД = Σ (Эt – Зt) / (1 + r)^t – К  (4)</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Эt - экономический результат в году t,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Зt - текущие затраты механизма в году t,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r - ставка дисконтирования, доли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t - номер года расчетного периода;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К - единовременные вложения,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Коэффициент эффективности вложений, дополняющий дисконтные измерители для активов длительного действия: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Кэ = (Э – З) / Кск  (5)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Кэ - коэффициент эффективности вложений, доли ед.;</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Кск - скорректированный вложенный капитал с учетом остаточной стоимости оборудования,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Срок окупаемости единовременных вложений: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Ток = К / (Э – З)  (6)</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где: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 Ток - срок окупаемости, лет.</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Результаты расчета по выражениям (1)-(6) представлены в таблице 9.</w:t>
      </w:r>
    </w:p>
    <w:p>
      <w:pPr>
        <w:spacing w:after="0" w:before="0" w:line="360" w:lineRule="auto"/>
        <w:jc w:val="center"/>
      </w:pPr>
      <w:r>
        <w:rPr>
          <w:rFonts w:ascii="Times New Roman" w:cs="Times New Roman" w:eastAsia="Times New Roman" w:hAnsi="Times New Roman"/>
          <w:sz w:val="28"/>
          <w:szCs w:val="28"/>
        </w:rPr>
        <w:t xml:space="preserve">Таблица 9 - Расчет экономической эффективности внедрения механизма реверсивного инжиниринга на АО «НЭВЗ», 2026-2028 гг.</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Показатель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2026 г.</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2027 г.</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2028 г.</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Итого</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Число позиций программы, ед.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74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282</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Прямая экономия Эпр,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174 316,8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226 918,4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264 738,6</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665 973,8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Удерживаемая доля d, доли ед.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0,573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0,573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0,573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Эффект предприятия от замещения,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99 883,5</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130 024,2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151 695,2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381 602,9</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Предотвращенная упущенная выгода Эпс,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28 416,2</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36 894,7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43 018,3</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108 329,2</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Доход от сторонних поставок Этд,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21 840,0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34 216,0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42 960,0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99 016,0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Предотвращенный перерасход Эпп,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13 702,7</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14 180,0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14 640,0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42 522,7</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Годовой результат Э,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163 842,4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215 314,9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252 313,5</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631 470,8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Текущие затраты Зt,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34 360,0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39 480,0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44 620,0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118 460,0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Чистый поток,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129 482,4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175 834,9</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207 693,5</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513 010,8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Дисконтированный поток при r=0,18,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109 730,8</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126 271,1</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126 419,4</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362 421,3</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 по данным управленческой отчетности АО «НЭВЗ» за 2024-2025 гг. и расчетам по предложенной методике, а также по: Мачерет, Д. А. Методология совершенствования оценки экономической эффективности развития транспортной инфраструктуры / Д. А. Мачерет, А. Д. Разуваев // Управление. - 2024. - Т. 12, № 3. - С. 26-35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Чистый дисконтированный доход за три года достигает 339 411,3 тыс. руб. при вложениях 23 010,0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Подстановка фактических значений в выражения (1)-(6) по данным 2026 г. дает следующую последовательность расчетов.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Эпр = 74 × 6 284,3 × (1 – 0,625) = 174 316,8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Эпс = 0,35 × (42,6 – 14,8) × 18 × 6,84 × 74 / 74 × 74 = 28 416,2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Э = 174 316,8 × 0,573 + 28 416,2 + 21 840,0 + 13 702,7 = 163 842,4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ЧДД = 109 730,8 + 126 271,1 + 126 419,4 – 23 010,0 = 339 411,3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Кэ = (163 842,4 – 34 360,0) / 19 458,4 = 6,65</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Ток = 23 010,0 / (163 842,4 – 34 360,0) = 0,178 года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Приведенные значения отражают эффективность самих единовременных вложений, которая при малом объеме капитальных затрат относительно операционного эффекта оказывается завышенно оптимистичной; корректная оценка требует соотнесения результата со всей суммой затрат механизма, включая текущие, что и выполнено далее.</w:t>
      </w:r>
    </w:p>
    <w:p>
      <w:pPr>
        <w:spacing w:after="0" w:before="0" w:line="360" w:lineRule="auto"/>
        <w:jc w:val="center"/>
      </w:pPr>
      <w:r>
        <w:rPr>
          <w:rFonts w:ascii="Times New Roman" w:cs="Times New Roman" w:eastAsia="Times New Roman" w:hAnsi="Times New Roman"/>
          <w:sz w:val="28"/>
          <w:szCs w:val="28"/>
        </w:rPr>
        <w:t xml:space="preserve">Таблица 10 - Стоимость мероприятий</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Мероприятие</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Единовременные затраты, тыс. руб.</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Текущие затраты 2026 г., тыс. руб.</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Всего 2026 г., тыс. руб.</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Создание Центра реверсивного инжиниринга (14 чел.)</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1 840,0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21 672,0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23 512,0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Трехмерный сканирующий комплекс и ПО</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14 260,0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1 640,0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15 900,0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Единый реестр позиций, интеграция с PLM</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3 970,0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4 830,0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Патентная экспертиза и регистрация ТУ</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6 328,0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6 328,0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Регламент и нормирование трудоемкости</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620,0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860,0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Подготовка 22 специалистов</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1 430,0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480,0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1 910,0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Типовые программы испытаний</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890,0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3 140,0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4 030,0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Итого</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23 010,0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34 360,0</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57 370,0</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w:t>
      </w:r>
    </w:p>
    <w:p>
      <w:pPr>
        <w:spacing w:after="0" w:before="0" w:line="360" w:lineRule="auto"/>
        <w:jc w:val="center"/>
      </w:pPr>
      <w:r>
        <w:rPr>
          <w:rFonts w:ascii="Times New Roman" w:cs="Times New Roman" w:eastAsia="Times New Roman" w:hAnsi="Times New Roman"/>
          <w:sz w:val="28"/>
          <w:szCs w:val="28"/>
        </w:rPr>
        <w:t xml:space="preserve">Таблица 11 - Сводный расчет эффективности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Показатель</w:t>
            </w:r>
          </w:p>
        </w:tc>
        <w:tc>
          <w:tcPr>
            <w:tcBorders>
              <w:top w:val="single" w:color="000000" w:sz="4"/>
              <w:left w:val="single" w:color="000000" w:sz="4"/>
              <w:bottom w:val="single" w:color="000000" w:sz="4"/>
              <w:right w:val="single" w:color="000000" w:sz="4"/>
            </w:tcBorders>
          </w:tcPr>
          <w:p>
            <w:pPr>
              <w:spacing w:line="240" w:lineRule="auto"/>
              <w:jc w:val="center"/>
            </w:pPr>
            <w:r>
              <w:rPr>
                <w:rFonts w:ascii="Times New Roman" w:cs="Times New Roman" w:eastAsia="Times New Roman" w:hAnsi="Times New Roman"/>
                <w:b/>
                <w:bCs/>
                <w:sz w:val="24"/>
                <w:szCs w:val="24"/>
              </w:rPr>
              <w:t xml:space="preserve">Значение</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Совокупные затраты 2026 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57 370,0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Совокупные затраты 2026-2028 гг.,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141 470,0</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Экономический результат 2026 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163 842,4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Экономический результат 2026-2028 гг.,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631 470,8</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Чистый поток 2026 г.,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106 472,4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Чистый дисконтированный доход за 3 года, тыс. руб.</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339 411,3</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Коэффициент эффективности вложений Кэ, доли ед.</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6,65</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Срок окупаемости совокупных затрат первого года, лет</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1,72</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Рентабельность совокупных затрат (ROI) за 2026 г.,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39,4</w:t>
            </w:r>
          </w:p>
        </w:tc>
      </w:tr>
      <w:tr>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Доля критичной номенклатуры, закрытой к 2028 г., %</w:t>
            </w:r>
          </w:p>
        </w:tc>
        <w:tc>
          <w:tcPr>
            <w:tcBorders>
              <w:top w:val="single" w:color="000000" w:sz="4"/>
              <w:left w:val="single" w:color="000000" w:sz="4"/>
              <w:bottom w:val="single" w:color="000000" w:sz="4"/>
              <w:right w:val="single" w:color="000000" w:sz="4"/>
            </w:tcBorders>
          </w:tcPr>
          <w:p>
            <w:pPr>
              <w:spacing w:line="240" w:lineRule="auto"/>
              <w:jc w:val="left"/>
            </w:pPr>
            <w:r>
              <w:rPr>
                <w:rFonts w:ascii="Times New Roman" w:cs="Times New Roman" w:eastAsia="Times New Roman" w:hAnsi="Times New Roman"/>
                <w:b w:val="false"/>
                <w:bCs w:val="false"/>
                <w:sz w:val="24"/>
                <w:szCs w:val="24"/>
              </w:rPr>
              <w:t xml:space="preserve">55,1</w:t>
            </w:r>
          </w:p>
        </w:tc>
      </w:tr>
    </w:tbl>
    <w:p>
      <w:pPr>
        <w:spacing w:after="0" w:before="0" w:line="360" w:lineRule="auto"/>
        <w:jc w:val="left"/>
      </w:pPr>
      <w:r>
        <w:rPr>
          <w:rFonts w:ascii="Times New Roman" w:cs="Times New Roman" w:eastAsia="Times New Roman" w:hAnsi="Times New Roman"/>
          <w:i/>
          <w:iCs/>
          <w:sz w:val="24"/>
          <w:szCs w:val="24"/>
        </w:rPr>
        <w:t xml:space="preserve">Источник: составлено автором</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Срок окупаемости 1,72 года получен отнесением совокупных затрат первого года (57 370,0 тыс. руб.) к среднегодовому чистому потоку за расчетный период (33 375,4 тыс. руб. в терминах прироста относительно инерционного состояния, где эффект 2024-2025 гг. составлял 48 540,3 тыс. руб. в год). Рентабельность совокупных затрат 39,4 % рассчитана как отношение прироста результата к приросту затрат и попадает в диапазон, характерный для проектов замещения импортных комплектующих в машиностроении.</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Устойчивость результата проверена по трем сценариям отклонений. При снижении удерживаемой доли эффекта с 0,573 до 0,40 (неполное принятие договорной схемы заказчиком) чистый поток 2026 г. падает до 76 976,3 тыс. руб., срок окупаемости растет до 1,94 года. При росте отношения себестоимости к цене оригинала с 0,625 до 0,72 экономия сокращается до 130 738,4 тыс. руб., ROI снижается до 28,6 %. При выполнении программы на 80 % (59 позиций вместо 74) результат составляет 133 214,7 тыс. руб., окупаемость 1,88 года. Проект сохраняет положительную отдачу во всех вариантах, что существенно при том, что 43,9 % критичной номенклатуры принципиально недоступна собственному воспроизводству и требует кооперации либо перехода к опережающим решениям </w:t>
      </w:r>
      <w:r>
        <w:rPr>
          <w:rStyle w:val="FootnoteReference"/>
        </w:rPr>
        <w:footnoteReference w:id="109"/>
      </w:r>
      <w:r>
        <w:rPr>
          <w:rFonts w:ascii="Times New Roman" w:cs="Times New Roman" w:eastAsia="Times New Roman" w:hAnsi="Times New Roman"/>
          <w:b w:val="false"/>
          <w:bCs w:val="false"/>
          <w:sz w:val="28"/>
          <w:szCs w:val="28"/>
        </w:rPr>
        <w:t xml:space="preserve">.</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Помимо денежных измерителей механизм дает результаты, оцениваемые индексно: интегральная готовность к обратному проектированию поднимается с 0,29 до 0,63 за 2026 г., длительность цикла сокращается с 94 до 80 дней, доля упреждающе отобранных позиций растет с 6,5 до 45 % к 2027 г., дублирование проработки устраняется полностью. Такая связка процессных и финансовых метрик обеспечивает сквозную видимость вклада организационных изменений в результаты предприятия </w:t>
      </w:r>
      <w:r>
        <w:rPr>
          <w:rStyle w:val="FootnoteReference"/>
        </w:rPr>
        <w:footnoteReference w:id="110"/>
      </w:r>
      <w:r>
        <w:rPr>
          <w:rFonts w:ascii="Times New Roman" w:cs="Times New Roman" w:eastAsia="Times New Roman" w:hAnsi="Times New Roman"/>
          <w:b w:val="false"/>
          <w:bCs w:val="false"/>
          <w:sz w:val="28"/>
          <w:szCs w:val="28"/>
        </w:rPr>
        <w:t xml:space="preserve">, а индексная форма измерения зрелости позволяет отслеживать прогресс по отдельным составляющим готовности, не сводя их к единственному денежному показателю </w:t>
      </w:r>
      <w:r>
        <w:rPr>
          <w:rStyle w:val="FootnoteReference"/>
        </w:rPr>
        <w:footnoteReference w:id="111"/>
      </w:r>
      <w:r>
        <w:rPr>
          <w:rFonts w:ascii="Times New Roman" w:cs="Times New Roman" w:eastAsia="Times New Roman" w:hAnsi="Times New Roman"/>
          <w:b w:val="false"/>
          <w:bCs w:val="false"/>
          <w:sz w:val="28"/>
          <w:szCs w:val="28"/>
        </w:rPr>
        <w:t xml:space="preserve">. Внедрение требует приказа о создании подразделения, утверждения регламента и формы заключения, открытия бюджетной строки и включения в договоры поставки запасных частей приложения о трехлетней цене воспроизведенных позиций.</w:t>
      </w:r>
    </w:p>
    <w:p>
      <w:r>
        <w:br w:type="page"/>
      </w:r>
    </w:p>
    <w:p>
      <w:pPr>
        <w:pStyle w:val="Heading1"/>
        <w:spacing w:after="0" w:before="0" w:line="360" w:lineRule="auto"/>
        <w:jc w:val="center"/>
      </w:pPr>
      <w:r>
        <w:rPr>
          <w:b/>
          <w:bCs/>
        </w:rPr>
        <w:t xml:space="preserve">ЗАКЛЮЧЕНИЕ</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Понятийное разграничение, проведенное в работе, показало, что смешение реверсивного инжиниринга с реинжинирингом бизнес-процессов и промышленным инжинирингом искажает не только терминологию, но и структуру экономического расчета. Объектом обратного проектирования выступает изделие - деталь, узел или агрегат, по которому отсутствует полный комплект документации; результатом становится конструкторская документация с техническими условиями и испытанным прототипом; измерителем эффекта служат экономия против цены оригинала и предотвращенный простой. Реинжиниринг процессов преобразует процедуры и измеряется сокращением цикла операции, промышленный инжиниринг охватывает производственную систему целиком с горизонтом отдачи в несколько лет. Практическое следствие такого разведения существенно: реверсивный проект генерирует преимущественно единовременные затраты на обмер, моделирование, изготовление и испытание образца, тогда как процессные преобразования дают распределенную по времени эксплуатационную экономию, и сведение двух логик в один расчет деформирует и срок окупаемости, и оценку риска.</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Место обратного проектирования в системе технологического суверенитета определяется как тактический инструмент с ограниченной, но измеримой отдачей. Экспертные оценки фиксируют его действенность для механических изделий и неприменимость в химических, биохимических технологиях и электронике; долгосрочная траектория, опирающаяся только на воспроизводство чужих решений, признается тупиковой, поскольку не связана с фундаментальной наукой. Разграничение импортозамещения, ориентированного на текущие нужды и краткосрочные цели, и импортоопережения, нацеленного на не имеющие аналогов опережающие технологии, помещает реверсивный инжиниринг в первый контур с точкой перехода во второй - через модификацию геометрии изделия для улучшения свойств и снижения трудоемкости. Статистика подтверждает узость ресурсной базы опережающего сценария: при инвестициях в инновации 3,5 трлн руб. в 2023 г. с приростом 29,6 % уровень использования собственных разработок остался на 14 %.</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Обзор методического арсенала выявил отсутствие готового инструмента оценки именно реверсивных проектов. Инфраструктурные методики, оперирующие скорректированным вложенным капиталом, корректирующими показателями и расширенной чистой приведенной стоимостью, рассчитаны на горизонты и масштабы, несопоставимые с воспроизводством отдельного узла; процессные подходы ориентированы на операционные улучшения без единовременных вложений. Требуемая конструкция складывается из сопоставления реверсивного варианта с закупкой оригинала, аналога и собственной разработкой, учета предотвращенной упущенной выгоды от простоя, нормированной оценки эффекта кооперационного контракта и индексной оценки готовности предприятия.</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Анализ объекта показал предприятие с устойчивым портфелем заказов и растущим выпуском - 217 секций электровозов в 2024 г. и 234 в 2025 г. при выручке 52 914,7 млн руб., - но со сужающейся маржинальностью: рентабельность продаж снизилась с 7,82 до 7,51 % при опережающем росте себестоимости. Формально объект полностью соответствует приоритетному направлению «железнодорожное машиностроение» и вправе рассчитывать на меры стимулирования инжиниринговой деятельности, однако за 2024-2025 гг. ни одного соглашения по этому направлению не заключено. Материальные затраты формируют 68,4 % себестоимости, что делает снижение закупочных цен наиболее весомым резервом, а износ машин и оборудования 61,3 % при среднем сроке службы металлорежущего парка 24,6 года превращает восстановление снятых с производства деталей в регулярную задачу ремонтных служб.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Практика применения обратного проектирования на площадке дала измеримый, но фрагментарный результат: 54 позиции за два года при 512 критичных, экономия 168 427,4 тыс. руб., причем отдача возникала именно там, где предсказана природой метода - на механических изделиях с отношением себестоимости к цене оригинала 0,42-0,68, - и оказывалась отрицательной на электронике, где расчет показал превышение цены оригинала в 6,8-9,3 раза. Организационно работа держалась на заявочном принципе, арендованном измерительном оборудовании, выборочной патентной экспертизе по 28,8 % позиций и группе из 6-8 специалистов.</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Диагностика управленческого контура выявила, что из восьми элементов организационно-экономического механизма шесть не сформированы, а два работают частично, причем нерабочими оказались именно ядровые составляющие - методика отбора и процессуальный регламент. Решения принимались техническим советом при 14 минутах обсуждения на позицию без сравнительного расчета альтернатив; маршрут из девяти согласований в шести подразделениях растягивался на 94 календарных дня, из которых 51 день уходил на поиск исходных данных; отдельная бюджетная строка отсутствовала, а затраты 5 646,4 тыс. руб. за 2025 г. списывались по прочим статьям. Интегральный индекс готовности к обратному проектированию составил 0,29, при этом наименьшее значение - 0,19 - приходилось на процедурную составляющую, наиболее дешевую в устранении. Из полученной экономии предприятию оставалось 24,5 %, остальное переходило заказчику через фиксированные сервисные цены, а невозмещенные конструкторские затраты по остановленным проектам достигли 9 863,2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Предложенный механизм меняет субъект управления, правила принятия решения и порядок распределения результата. Создание Центра реверсивного инжиниринга численностью 14 человек с прямым подчинением главному инженеру устраняет распределение функций между тремя службами и 17 случаев дублирования проработки с прямыми потерями 1 483,7 тыс. руб. Сведение маршрута к пяти стадиям с закрепленной длительностью сокращает цикл с 94 до 80 дней, а перенос сбора исходных данных в единый реестр уменьшает срок поиска информации с 51 до 14 дней. Приобретение собственного сканирующего комплекса за 14 260 тыс. руб. замещает аренду, которая при плановой потребности 118 смен обошлась бы в 8 767,4 тыс. руб. ежегодно с сохранением 19-суточного ожидания подрядчика. Обязательная патентная экспертиза стоимостью 62,5 тыс. руб. на позицию предотвращает списание средних невозмещенных затрат 493,2 тыс. руб. по остановленному проекту, а регистрация технических условий по всем доведенным до производства позициям открывает сторонние поставки с расчетным доходом 21 840,0 тыс. руб. в 2026 г. Договорное закрепление цены воспроизведенных позиций на уровне 78-84 % импортной повышает удерживаемую предприятием долю эффекта с 24,5 до 57,3 %, что по данным 2025 г. соответствует приросту 31 828,4 тыс. руб.</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Четырехвариантная методика с трехлетним горизонтом, пороговыми значениями по классам изделий и профилем риска обеспечивает отсев убыточных проектов до начала конструкторских работ: проверка на реестре 2025 г. показала исключение 6 позиций из 31 с затратами 2 916,8 тыс. руб., апробация на четырех позициях 2026 г. - допуск двух механических с разницей полных затрат 43,3 и 23,0 % и отклонение электронной и химической.</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Совокупный расчет по программе 2026-2028 гг. с квотами 74, 96 и 112 позиций дает экономический результат 631 470,8 тыс. руб. при совокупных затратах 141 470,0 тыс. руб., чистый дисконтированный доход 339 411,3 тыс. руб. при ставке 18 %, рентабельность совокупных затрат 39,4 % и срок окупаемости 1,72 года. Сценарная проверка сохраняет положительную отдачу при снижении удерживаемой доли до 0,40 (окупаемость 1,94 года), росте отношения себестоимости к цене оригинала до 0,72 (ROI 28,6 %) и выполнении программы на 80 % (окупаемость 1,88 года). Интегральная готовность поднимается с 0,29 до 0,63, доля упреждающе отобранных позиций - с 6,5 до 45 %, закрытие критичной номенклатуры к 2028 г. достигает 55,1 %.</w:t>
      </w:r>
    </w:p>
    <w:p>
      <w:pPr>
        <w:spacing w:after="0" w:before="0" w:line="360" w:lineRule="auto"/>
        <w:ind w:left="0" w:right="0" w:firstLine="709"/>
        <w:jc w:val="both"/>
      </w:pPr>
      <w:r>
        <w:rPr>
          <w:rFonts w:ascii="Times New Roman" w:cs="Times New Roman" w:eastAsia="Times New Roman" w:hAnsi="Times New Roman"/>
          <w:b w:val="false"/>
          <w:bCs w:val="false"/>
          <w:sz w:val="28"/>
          <w:szCs w:val="28"/>
        </w:rPr>
        <w:t xml:space="preserve">Поставленная цель достигнута: экономическое содержание управления процессами реверсивного инжиниринга раскрыто, границы применимости метода определены по классам изделий, а разработанный механизм с методикой отбора и системой показателей получил количественное обоснование на материалах предприятия транспортного машиностроения.</w:t>
      </w:r>
    </w:p>
    <w:p>
      <w:r>
        <w:br w:type="page"/>
      </w:r>
    </w:p>
    <w:p>
      <w:pPr>
        <w:pStyle w:val="Heading1"/>
        <w:spacing w:after="0" w:before="0" w:line="360" w:lineRule="auto"/>
        <w:jc w:val="center"/>
      </w:pPr>
      <w:r>
        <w:rPr>
          <w:b/>
          <w:bCs/>
        </w:rPr>
        <w:t xml:space="preserve">СПИСОК ИСПОЛЬЗОВАННЫХ ИСТОЧНИКОВ</w:t>
      </w:r>
    </w:p>
    <w:p>
      <w:pPr>
        <w:spacing w:after="0" w:before="0" w:line="360" w:lineRule="auto"/>
        <w:ind w:left="0" w:right="0" w:firstLine="709"/>
        <w:jc w:val="both"/>
      </w:pPr>
      <w:r>
        <w:rPr>
          <w:rFonts w:ascii="Times New Roman" w:cs="Times New Roman" w:eastAsia="Times New Roman" w:hAnsi="Times New Roman"/>
          <w:sz w:val="28"/>
          <w:szCs w:val="28"/>
        </w:rPr>
        <w:t xml:space="preserve">Нормативные правовые акты</w:t>
      </w:r>
    </w:p>
    <w:p>
      <w:pPr>
        <w:spacing w:after="0" w:before="0" w:line="360" w:lineRule="auto"/>
        <w:ind w:left="0" w:right="0" w:firstLine="709"/>
        <w:jc w:val="both"/>
      </w:pPr>
      <w:r>
        <w:rPr>
          <w:rFonts w:ascii="Times New Roman" w:cs="Times New Roman" w:eastAsia="Times New Roman" w:hAnsi="Times New Roman"/>
          <w:sz w:val="28"/>
          <w:szCs w:val="28"/>
        </w:rPr>
        <w:t xml:space="preserve">1. Федеральный закон "Об основах государственного регулирования внешнеторговой деятельности" от 08.12.2003 N 164-ФЗ (последняя редакция) \ КонсультантПлюс. — URL: https://www.consultant.ru/document/cons_doc_LAW_45397/ (дата обращения: 18.06.2026).</w:t>
      </w:r>
    </w:p>
    <w:p>
      <w:pPr>
        <w:spacing w:after="0" w:before="0" w:line="360" w:lineRule="auto"/>
        <w:ind w:left="0" w:right="0" w:firstLine="709"/>
        <w:jc w:val="both"/>
      </w:pPr>
      <w:r>
        <w:rPr>
          <w:rFonts w:ascii="Times New Roman" w:cs="Times New Roman" w:eastAsia="Times New Roman" w:hAnsi="Times New Roman"/>
          <w:sz w:val="28"/>
          <w:szCs w:val="28"/>
        </w:rPr>
        <w:t xml:space="preserve">2. Федеральный закон "О защите конкуренции" от 26.07.2006 N 135-ФЗ (последняя редакция) \ КонсультантПлюс. — URL: https://www.consultant.ru/document/cons_doc_LAW_61763/ (дата обращения: 29.06.2026).</w:t>
      </w:r>
    </w:p>
    <w:p>
      <w:pPr>
        <w:spacing w:after="0" w:before="0" w:line="360" w:lineRule="auto"/>
        <w:ind w:left="0" w:right="0" w:firstLine="709"/>
        <w:jc w:val="both"/>
      </w:pPr>
      <w:r>
        <w:rPr>
          <w:rFonts w:ascii="Times New Roman" w:cs="Times New Roman" w:eastAsia="Times New Roman" w:hAnsi="Times New Roman"/>
          <w:sz w:val="28"/>
          <w:szCs w:val="28"/>
        </w:rPr>
        <w:t xml:space="preserve">3. Федеральный закон "О промышленной политике в Российской Федерации" от 31.12.2014 N 488-ФЗ (последняя редакция) \ КонсультантПлюс. — URL: https://www.consultant.ru/document/cons_doc_LAW_173119/ (дата обращения: 10.07.2026).</w:t>
      </w:r>
    </w:p>
    <w:p>
      <w:pPr>
        <w:spacing w:after="0" w:before="0" w:line="360" w:lineRule="auto"/>
        <w:ind w:left="0" w:right="0" w:firstLine="709"/>
        <w:jc w:val="both"/>
      </w:pPr>
      <w:r>
        <w:rPr>
          <w:rFonts w:ascii="Times New Roman" w:cs="Times New Roman" w:eastAsia="Times New Roman" w:hAnsi="Times New Roman"/>
          <w:sz w:val="28"/>
          <w:szCs w:val="28"/>
        </w:rPr>
        <w:t xml:space="preserve">4. федеральный закон от 29.06.2015 № 162-ФЗ (ред. действующая). — URL: http://www.kremlin.ru/acts/bank/39815 (дата обращения: 24.06.2026).</w:t>
      </w:r>
    </w:p>
    <w:p>
      <w:pPr>
        <w:spacing w:after="0" w:before="0" w:line="360" w:lineRule="auto"/>
        <w:ind w:left="0" w:right="0" w:firstLine="709"/>
        <w:jc w:val="both"/>
      </w:pPr>
      <w:r>
        <w:rPr>
          <w:rFonts w:ascii="Times New Roman" w:cs="Times New Roman" w:eastAsia="Times New Roman" w:hAnsi="Times New Roman"/>
          <w:sz w:val="28"/>
          <w:szCs w:val="28"/>
        </w:rPr>
        <w:t xml:space="preserve">5. распоряжение Правительства РФ от 30.08.2019 № 1931-р (ред. действующая). — URL: https://www.garant.ru/products/ipo/prime/doc/72590266/ (дата обращения: 05.07.2026).</w:t>
      </w:r>
    </w:p>
    <w:p>
      <w:pPr>
        <w:spacing w:after="0" w:before="0" w:line="360" w:lineRule="auto"/>
        <w:ind w:left="0" w:right="0" w:firstLine="709"/>
        <w:jc w:val="both"/>
      </w:pPr>
      <w:r>
        <w:rPr>
          <w:rFonts w:ascii="Times New Roman" w:cs="Times New Roman" w:eastAsia="Times New Roman" w:hAnsi="Times New Roman"/>
          <w:sz w:val="28"/>
          <w:szCs w:val="28"/>
        </w:rPr>
        <w:t xml:space="preserve">6. распоряжение Правительства РФ от 06.06.2020 № 1512-р (ред. действующая). — URL: https://internet-law.ru/documents/dop_documents/11/gost_48532/0/raspo.html (дата обращения: 19.06.2026).</w:t>
      </w:r>
    </w:p>
    <w:p>
      <w:pPr>
        <w:spacing w:after="0" w:before="0" w:line="360" w:lineRule="auto"/>
        <w:ind w:left="0" w:right="0" w:firstLine="709"/>
        <w:jc w:val="both"/>
      </w:pPr>
      <w:r>
        <w:rPr>
          <w:rFonts w:ascii="Times New Roman" w:cs="Times New Roman" w:eastAsia="Times New Roman" w:hAnsi="Times New Roman"/>
          <w:sz w:val="28"/>
          <w:szCs w:val="28"/>
        </w:rPr>
        <w:t xml:space="preserve">7. постановление Правительства РФ от 12.11.2021 № 1933 (ред. действующая). — URL: https://base.garant.ru/403071720/ (дата обращения: 30.06.2026).</w:t>
      </w:r>
    </w:p>
    <w:p>
      <w:pPr>
        <w:spacing w:after="0" w:before="0" w:line="360" w:lineRule="auto"/>
        <w:ind w:left="0" w:right="0" w:firstLine="709"/>
        <w:jc w:val="both"/>
      </w:pPr>
      <w:r>
        <w:rPr>
          <w:rFonts w:ascii="Times New Roman" w:cs="Times New Roman" w:eastAsia="Times New Roman" w:hAnsi="Times New Roman"/>
          <w:sz w:val="28"/>
          <w:szCs w:val="28"/>
        </w:rPr>
        <w:t xml:space="preserve">НАУЧНАЯ И УЧЕБНАЯ ЛИТЕРАТУРА</w:t>
      </w:r>
    </w:p>
    <w:p>
      <w:pPr>
        <w:spacing w:after="0" w:before="0" w:line="360" w:lineRule="auto"/>
        <w:ind w:left="0" w:right="0" w:firstLine="709"/>
        <w:jc w:val="both"/>
      </w:pPr>
      <w:r>
        <w:rPr>
          <w:rFonts w:ascii="Times New Roman" w:cs="Times New Roman" w:eastAsia="Times New Roman" w:hAnsi="Times New Roman"/>
          <w:sz w:val="28"/>
          <w:szCs w:val="28"/>
        </w:rPr>
        <w:t xml:space="preserve">8. 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URL: https://1economic.ru/lib/124499 (дата обращения: 11.07.2026).</w:t>
      </w:r>
    </w:p>
    <w:p>
      <w:pPr>
        <w:spacing w:after="0" w:before="0" w:line="360" w:lineRule="auto"/>
        <w:ind w:left="0" w:right="0" w:firstLine="709"/>
        <w:jc w:val="both"/>
      </w:pPr>
      <w:r>
        <w:rPr>
          <w:rFonts w:ascii="Times New Roman" w:cs="Times New Roman" w:eastAsia="Times New Roman" w:hAnsi="Times New Roman"/>
          <w:sz w:val="28"/>
          <w:szCs w:val="28"/>
        </w:rPr>
        <w:t xml:space="preserve">9. Анисимова, В. Ю. Методологические основы формирования процессов импортоопережения инноваций и технологического суверенитета промышленности России / В. Ю. Анисимова // disserCat. — 2025. — URL: https://www.dissercat.com/content/metodologicheskie-osnovy-formirovaniya-protsessov-importooperezheniya-innovatsii-i-tekhnolog (дата обращения: 25.06.2026).</w:t>
      </w:r>
    </w:p>
    <w:p>
      <w:pPr>
        <w:spacing w:after="0" w:before="0" w:line="360" w:lineRule="auto"/>
        <w:ind w:left="0" w:right="0" w:firstLine="709"/>
        <w:jc w:val="both"/>
      </w:pPr>
      <w:r>
        <w:rPr>
          <w:rFonts w:ascii="Times New Roman" w:cs="Times New Roman" w:eastAsia="Times New Roman" w:hAnsi="Times New Roman"/>
          <w:sz w:val="28"/>
          <w:szCs w:val="28"/>
        </w:rPr>
        <w:t xml:space="preserve">10. Болгова, Е. В. Стратегические предпосылки и целевая модель развития ресурсосберегающей транспортно логистической системы в экономике региона / Е. В. Болгова, С. А. Болгов // Ars Administrandi. — 2024. — Т. 16, № 4. — С. 753–791. — URL: https://cyberleninka.ru/article/n/strategicheskie-predposylki-i-tselevaya-model-razvitiya-resursosberegayuschey-transportno-logisticheskoy-sistemy-v-ekonomike (дата обращения: 06.07.2026).</w:t>
      </w:r>
    </w:p>
    <w:p>
      <w:pPr>
        <w:spacing w:after="0" w:before="0" w:line="360" w:lineRule="auto"/>
        <w:ind w:left="0" w:right="0" w:firstLine="709"/>
        <w:jc w:val="both"/>
      </w:pPr>
      <w:r>
        <w:rPr>
          <w:rFonts w:ascii="Times New Roman" w:cs="Times New Roman" w:eastAsia="Times New Roman" w:hAnsi="Times New Roman"/>
          <w:sz w:val="28"/>
          <w:szCs w:val="28"/>
        </w:rPr>
        <w:t xml:space="preserve">11. Быстров, А. В. Формирование прямых затрат на текущее содержание грузонапряженных участков железнодорожной инфраструктуры / А. В. Быстров // disserCat. — 2025. — URL: https://www.dissercat.com/content/formirovanie-pryamykh-zatrat-na-tekushchee-soderzhanie-gruzonapryazhennykh-uchastkov-zhelezn (дата обращения: 20.06.2026).</w:t>
      </w:r>
    </w:p>
    <w:p>
      <w:pPr>
        <w:spacing w:after="0" w:before="0" w:line="360" w:lineRule="auto"/>
        <w:ind w:left="0" w:right="0" w:firstLine="709"/>
        <w:jc w:val="both"/>
      </w:pPr>
      <w:r>
        <w:rPr>
          <w:rFonts w:ascii="Times New Roman" w:cs="Times New Roman" w:eastAsia="Times New Roman" w:hAnsi="Times New Roman"/>
          <w:sz w:val="28"/>
          <w:szCs w:val="28"/>
        </w:rPr>
        <w:t xml:space="preserve">12.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disserCat. — 2025. — URL: https://www.dissercat.com/content/formirovanie-mekhanizmov-ustoichivogo-razvitiya-transportnykh-organizatsii-na-osnove-soglaso (дата обращения: 01.07.2026).</w:t>
      </w:r>
    </w:p>
    <w:p>
      <w:pPr>
        <w:spacing w:after="0" w:before="0" w:line="360" w:lineRule="auto"/>
        <w:ind w:left="0" w:right="0" w:firstLine="709"/>
        <w:jc w:val="both"/>
      </w:pPr>
      <w:r>
        <w:rPr>
          <w:rFonts w:ascii="Times New Roman" w:cs="Times New Roman" w:eastAsia="Times New Roman" w:hAnsi="Times New Roman"/>
          <w:sz w:val="28"/>
          <w:szCs w:val="28"/>
        </w:rPr>
        <w:t xml:space="preserve">13. ГИМАЕВА, А. Р. Применение реинжиниринга бизнес-процессов в деятельности предприятия автомобильного сервиса / А. Р. ГИМАЕВА, М. Г. НУРИЕВ, Р. С. ЗАРИПОВА // Russian Journal of Management. — 2024. — Т. 12, № 4. — С. 80–92. — DOI 10.29039/2500-1469-2024-12-4-80-92. — URL: https://rusjm.ru/ru/nauka/article/91749/view (дата обращения: 12.07.2026).</w:t>
      </w:r>
    </w:p>
    <w:p>
      <w:pPr>
        <w:spacing w:after="0" w:before="0" w:line="360" w:lineRule="auto"/>
        <w:ind w:left="0" w:right="0" w:firstLine="709"/>
        <w:jc w:val="both"/>
      </w:pPr>
      <w:r>
        <w:rPr>
          <w:rFonts w:ascii="Times New Roman" w:cs="Times New Roman" w:eastAsia="Times New Roman" w:hAnsi="Times New Roman"/>
          <w:sz w:val="28"/>
          <w:szCs w:val="28"/>
        </w:rPr>
        <w:t xml:space="preserve">14. Демидов, А. В. Возможность применения технологии реверс-инжиниринга для быстрого прототипирования в машиностроении / А. В. Демидов // Молодой учёный. — 2024. — Т. 506, № 7. — С. 20–21. — URL: https://moluch.ru/archive/506/111338 (дата обращения: 26.06.2026).</w:t>
      </w:r>
    </w:p>
    <w:p>
      <w:pPr>
        <w:spacing w:after="0" w:before="0" w:line="360" w:lineRule="auto"/>
        <w:ind w:left="0" w:right="0" w:firstLine="709"/>
        <w:jc w:val="both"/>
      </w:pPr>
      <w:r>
        <w:rPr>
          <w:rFonts w:ascii="Times New Roman" w:cs="Times New Roman" w:eastAsia="Times New Roman" w:hAnsi="Times New Roman"/>
          <w:sz w:val="28"/>
          <w:szCs w:val="28"/>
        </w:rPr>
        <w:t xml:space="preserve">15.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p>
      <w:pPr>
        <w:spacing w:after="0" w:before="0" w:line="360" w:lineRule="auto"/>
        <w:ind w:left="0" w:right="0" w:firstLine="709"/>
        <w:jc w:val="both"/>
      </w:pPr>
      <w:r>
        <w:rPr>
          <w:rFonts w:ascii="Times New Roman" w:cs="Times New Roman" w:eastAsia="Times New Roman" w:hAnsi="Times New Roman"/>
          <w:sz w:val="28"/>
          <w:szCs w:val="28"/>
        </w:rPr>
        <w:t xml:space="preserve">16.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https://www.dissercat.com/content/mekhanizm-otsenki-effektivnosti-infrastrukturnykh-proektov-sozdaniya-mezhdunarodnogo-transpo (дата обращения: 21.06.2026).</w:t>
      </w:r>
    </w:p>
    <w:p>
      <w:pPr>
        <w:spacing w:after="0" w:before="0" w:line="360" w:lineRule="auto"/>
        <w:ind w:left="0" w:right="0" w:firstLine="709"/>
        <w:jc w:val="both"/>
      </w:pPr>
      <w:r>
        <w:rPr>
          <w:rFonts w:ascii="Times New Roman" w:cs="Times New Roman" w:eastAsia="Times New Roman" w:hAnsi="Times New Roman"/>
          <w:sz w:val="28"/>
          <w:szCs w:val="28"/>
        </w:rPr>
        <w:t xml:space="preserve">17.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URL: https://cyberleninka.ru/article/n/tsifrovaya-transformatsiya-predpriyatiy-na-osnove-protsessno-proektnogo-podhoda (дата обращения: 02.07.2026).</w:t>
      </w:r>
    </w:p>
    <w:p>
      <w:pPr>
        <w:spacing w:after="0" w:before="0" w:line="360" w:lineRule="auto"/>
        <w:ind w:left="0" w:right="0" w:firstLine="709"/>
        <w:jc w:val="both"/>
      </w:pPr>
      <w:r>
        <w:rPr>
          <w:rFonts w:ascii="Times New Roman" w:cs="Times New Roman" w:eastAsia="Times New Roman" w:hAnsi="Times New Roman"/>
          <w:sz w:val="28"/>
          <w:szCs w:val="28"/>
        </w:rPr>
        <w:t xml:space="preserve">18. Калинина, А. М. Формирование механизма управления устойчивым развитием машиностроительных предприятий в современных условиях / А. М. Калинина // disserCat. — 2025. — URL: https://www.dissercat.com/content/formirovanie-mekhanizma-upravleniya-ustoichivym-razvitiem-mashinostroitelnykh-predpriyatii (дата обращения: 13.07.2026).</w:t>
      </w:r>
    </w:p>
    <w:p>
      <w:pPr>
        <w:spacing w:after="0" w:before="0" w:line="360" w:lineRule="auto"/>
        <w:ind w:left="0" w:right="0" w:firstLine="709"/>
        <w:jc w:val="both"/>
      </w:pPr>
      <w:r>
        <w:rPr>
          <w:rFonts w:ascii="Times New Roman" w:cs="Times New Roman" w:eastAsia="Times New Roman" w:hAnsi="Times New Roman"/>
          <w:sz w:val="28"/>
          <w:szCs w:val="28"/>
        </w:rPr>
        <w:t xml:space="preserve">19.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URL: https://cyberleninka.ru/article/n/instrumenty-promyshlennoy-politiki-dlya-obespecheniya-tehnologicheskogo-suvereniteta (дата обращения: 27.06.2026).</w:t>
      </w:r>
    </w:p>
    <w:p>
      <w:pPr>
        <w:spacing w:after="0" w:before="0" w:line="360" w:lineRule="auto"/>
        <w:ind w:left="0" w:right="0" w:firstLine="709"/>
        <w:jc w:val="both"/>
      </w:pPr>
      <w:r>
        <w:rPr>
          <w:rFonts w:ascii="Times New Roman" w:cs="Times New Roman" w:eastAsia="Times New Roman" w:hAnsi="Times New Roman"/>
          <w:sz w:val="28"/>
          <w:szCs w:val="28"/>
        </w:rPr>
        <w:t xml:space="preserve">20.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E-Management. — 2026. — Т. 8, № 4. — DOI 10.26425/2658-3445-2025-8-4-4-21. — URL: https://e-management.guu.ru/jour/article/view/616 (дата обращения: 08.07.2026).</w:t>
      </w:r>
    </w:p>
    <w:p>
      <w:pPr>
        <w:spacing w:after="0" w:before="0" w:line="360" w:lineRule="auto"/>
        <w:ind w:left="0" w:right="0" w:firstLine="709"/>
        <w:jc w:val="both"/>
      </w:pPr>
      <w:r>
        <w:rPr>
          <w:rFonts w:ascii="Times New Roman" w:cs="Times New Roman" w:eastAsia="Times New Roman" w:hAnsi="Times New Roman"/>
          <w:sz w:val="28"/>
          <w:szCs w:val="28"/>
        </w:rPr>
        <w:t xml:space="preserve">21.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p>
      <w:pPr>
        <w:spacing w:after="0" w:before="0" w:line="360" w:lineRule="auto"/>
        <w:ind w:left="0" w:right="0" w:firstLine="709"/>
        <w:jc w:val="both"/>
      </w:pPr>
      <w:r>
        <w:rPr>
          <w:rFonts w:ascii="Times New Roman" w:cs="Times New Roman" w:eastAsia="Times New Roman" w:hAnsi="Times New Roman"/>
          <w:sz w:val="28"/>
          <w:szCs w:val="28"/>
        </w:rPr>
        <w:t xml:space="preserve">22.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URL: https://cyberleninka.ru/article/n/sovremennye-tehnologii-modelirovaniya-biznes-protsessov-v-proektno-izyskatelskoy-deyatelnosti-analiz-i-tendentsii (дата обращения: 03.07.2026).</w:t>
      </w:r>
    </w:p>
    <w:p>
      <w:pPr>
        <w:spacing w:after="0" w:before="0" w:line="360" w:lineRule="auto"/>
        <w:ind w:left="0" w:right="0" w:firstLine="709"/>
        <w:jc w:val="both"/>
      </w:pPr>
      <w:r>
        <w:rPr>
          <w:rFonts w:ascii="Times New Roman" w:cs="Times New Roman" w:eastAsia="Times New Roman" w:hAnsi="Times New Roman"/>
          <w:sz w:val="28"/>
          <w:szCs w:val="28"/>
        </w:rPr>
        <w:t xml:space="preserve">23. Маскаева, Е. Ю. Экономическое обоснование проектов развития железнодорожных пассажирских перевозок в агломерации / Е. Ю. Маскаева // disserCat. — 2025. — URL: https://www.dissercat.com/content/ekonomicheskoe-obosnovanie-proektov-razvitiya-zheleznodorozhnykh-passazhirskikh-perevozok (дата обращения: 14.07.2026).</w:t>
      </w:r>
    </w:p>
    <w:p>
      <w:pPr>
        <w:spacing w:after="0" w:before="0" w:line="360" w:lineRule="auto"/>
        <w:ind w:left="0" w:right="0" w:firstLine="709"/>
        <w:jc w:val="both"/>
      </w:pPr>
      <w:r>
        <w:rPr>
          <w:rFonts w:ascii="Times New Roman" w:cs="Times New Roman" w:eastAsia="Times New Roman" w:hAnsi="Times New Roman"/>
          <w:sz w:val="28"/>
          <w:szCs w:val="28"/>
        </w:rPr>
        <w:t xml:space="preserve">24. Мачерет, Д. А. Методология совершенствования оценки экономической эффективности развития транспортной инфраструктуры / Д. А. Мачерет, А. Д. Разуваев // Управление. — 2024. — Т. 12, № 3. — DOI 10.26425/2309-3633-2024-12-3-26-35. — URL: https://upravlenie.guu.ru/jour/article/view/729 (дата обращения: 28.06.2026).</w:t>
      </w:r>
    </w:p>
    <w:p>
      <w:pPr>
        <w:spacing w:after="0" w:before="0" w:line="360" w:lineRule="auto"/>
        <w:ind w:left="0" w:right="0" w:firstLine="709"/>
        <w:jc w:val="both"/>
      </w:pPr>
      <w:r>
        <w:rPr>
          <w:rFonts w:ascii="Times New Roman" w:cs="Times New Roman" w:eastAsia="Times New Roman" w:hAnsi="Times New Roman"/>
          <w:sz w:val="28"/>
          <w:szCs w:val="28"/>
        </w:rPr>
        <w:t xml:space="preserve">25. Наугольнова, И. А. Теоретические основы промышленного инжиниринга предприятий / И. А. Наугольнова // Экономика, предпринимательство и право. — 2023. — Т. 13, № 9. — С. 9–20. — URL: https://cyberleninka.ru/article/n/teoreticheskie-osnovy-promyshlennogo-inzhiniringa-predpriyatiy (дата обращения: 09.07.2026).</w:t>
      </w:r>
    </w:p>
    <w:p>
      <w:pPr>
        <w:spacing w:after="0" w:before="0" w:line="360" w:lineRule="auto"/>
        <w:ind w:left="0" w:right="0" w:firstLine="709"/>
        <w:jc w:val="both"/>
      </w:pPr>
      <w:r>
        <w:rPr>
          <w:rFonts w:ascii="Times New Roman" w:cs="Times New Roman" w:eastAsia="Times New Roman" w:hAnsi="Times New Roman"/>
          <w:sz w:val="28"/>
          <w:szCs w:val="28"/>
        </w:rPr>
        <w:t xml:space="preserve">26. Разуваев, А. Д. Экономический аспект использования и развития транспортной инфраструктуры в городских агломерациях / А. Д. Разуваев, А. Ю. Ледней, Р. А. Титов, Е. И. Белозерова // Транспорт Российской Федерации. Журнал о науке, практике, экономике. — 2024. — Т. 0, № 5-6. — С. 21–33. — URL: https://rostransport.elpub.ru/jour/article/view/136 (дата обращения: 23.06.2026).</w:t>
      </w:r>
    </w:p>
    <w:p>
      <w:pPr>
        <w:spacing w:after="0" w:before="0" w:line="360" w:lineRule="auto"/>
        <w:ind w:left="0" w:right="0" w:firstLine="709"/>
        <w:jc w:val="both"/>
      </w:pPr>
      <w:r>
        <w:rPr>
          <w:rFonts w:ascii="Times New Roman" w:cs="Times New Roman" w:eastAsia="Times New Roman" w:hAnsi="Times New Roman"/>
          <w:sz w:val="28"/>
          <w:szCs w:val="28"/>
        </w:rPr>
        <w:t xml:space="preserve">27. Санникова, К. А. Развитие системы управления ESG-рисками при обеспечении экономической безопасности горнодобывающих предприятий / К. А. Санникова // disserCat. — 2024. — URL: https://www.dissercat.com/content/razvitie-sistemy-upravleniya-esg-riskami-pri-obespechenii-ekonomicheskoi-bezopasnosti-gornod (дата обращения: 04.07.2026).</w:t>
      </w:r>
    </w:p>
    <w:p>
      <w:pPr>
        <w:spacing w:after="0" w:before="0" w:line="360" w:lineRule="auto"/>
        <w:ind w:left="0" w:right="0" w:firstLine="709"/>
        <w:jc w:val="both"/>
      </w:pPr>
      <w:r>
        <w:rPr>
          <w:rFonts w:ascii="Times New Roman" w:cs="Times New Roman" w:eastAsia="Times New Roman" w:hAnsi="Times New Roman"/>
          <w:sz w:val="28"/>
          <w:szCs w:val="28"/>
        </w:rPr>
        <w:t xml:space="preserve">28.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URL: https://sciup.org/metodologija-ocenki-jeffektivnosti-vnedrenija-intellektualnyh-tehnologij-v-148328241 (дата обращения: 18.06.2026).</w:t>
      </w:r>
    </w:p>
    <w:p>
      <w:pPr>
        <w:spacing w:after="0" w:before="0" w:line="360" w:lineRule="auto"/>
        <w:ind w:left="0" w:right="0" w:firstLine="709"/>
        <w:jc w:val="both"/>
      </w:pPr>
      <w:r>
        <w:rPr>
          <w:rFonts w:ascii="Times New Roman" w:cs="Times New Roman" w:eastAsia="Times New Roman" w:hAnsi="Times New Roman"/>
          <w:sz w:val="28"/>
          <w:szCs w:val="28"/>
        </w:rPr>
        <w:t xml:space="preserve">29.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disserCat. — 2024. — URL: https://www.dissercat.com/content/sovershenstvovanie-upravleniya-protsessami-perevozki-passazhirov-v-gorodskikh-aglomeratsiyak (дата обращения: 29.06.2026).</w:t>
      </w:r>
    </w:p>
    <w:p>
      <w:pPr>
        <w:spacing w:after="0" w:before="0" w:line="360" w:lineRule="auto"/>
        <w:ind w:left="0" w:right="0" w:firstLine="709"/>
        <w:jc w:val="both"/>
      </w:pPr>
      <w:r>
        <w:rPr>
          <w:rFonts w:ascii="Times New Roman" w:cs="Times New Roman" w:eastAsia="Times New Roman" w:hAnsi="Times New Roman"/>
          <w:sz w:val="28"/>
          <w:szCs w:val="28"/>
        </w:rPr>
        <w:t xml:space="preserve">30.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p>
      <w:pPr>
        <w:spacing w:after="0" w:before="0" w:line="360" w:lineRule="auto"/>
        <w:ind w:left="0" w:right="0" w:firstLine="709"/>
        <w:jc w:val="both"/>
      </w:pPr>
      <w:r>
        <w:rPr>
          <w:rFonts w:ascii="Times New Roman" w:cs="Times New Roman" w:eastAsia="Times New Roman" w:hAnsi="Times New Roman"/>
          <w:sz w:val="28"/>
          <w:szCs w:val="28"/>
        </w:rPr>
        <w:t xml:space="preserve">31. Цыгляну, П. П. Развитие инструментария управления инжиниринговыми проектами в нефтегазовой компании / П. П. Цыгляну // disserCat. — 2023. — URL: https://www.dissercat.com/content/razvitie-instrumentariya-upravleniya-inzhiniringovymi-proektami-v-neftegazovoi-kompanii (дата обращения: 24.06.2026).</w:t>
      </w:r>
    </w:p>
    <w:p>
      <w:pPr>
        <w:spacing w:after="0" w:before="0" w:line="360" w:lineRule="auto"/>
        <w:ind w:left="0" w:right="0" w:firstLine="709"/>
        <w:jc w:val="both"/>
      </w:pPr>
      <w:r>
        <w:rPr>
          <w:rFonts w:ascii="Times New Roman" w:cs="Times New Roman" w:eastAsia="Times New Roman" w:hAnsi="Times New Roman"/>
          <w:sz w:val="28"/>
          <w:szCs w:val="28"/>
        </w:rPr>
        <w:t xml:space="preserve">32. Шарова, И. В. Управление транспортными рисками / И. В. Шарова, С. П. Галкина // Экономика, предпринимательство и право. — 2025. — Т. 15, № 2. — С. 2–17. — URL: https://cyberleninka.ru/article/n/upravlenie-transportnymi-riskami (дата обращения: 05.07.2026).</w:t>
      </w:r>
    </w:p>
    <w:p>
      <w:pPr>
        <w:spacing w:after="0" w:before="0" w:line="360" w:lineRule="auto"/>
        <w:ind w:left="0" w:right="0" w:firstLine="709"/>
        <w:jc w:val="both"/>
      </w:pPr>
      <w:r>
        <w:rPr>
          <w:rFonts w:ascii="Times New Roman" w:cs="Times New Roman" w:eastAsia="Times New Roman" w:hAnsi="Times New Roman"/>
          <w:sz w:val="28"/>
          <w:szCs w:val="28"/>
        </w:rPr>
        <w:t xml:space="preserve">33.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disserCat. — 2025. — URL: https://www.dissercat.com/content/regionalnaya-ekonomicheskaya-politika-ispolzovaniya-gosudarstvenno-chastnogo-partnerstva-dly (дата обращения: 19.06.2026).</w:t>
      </w:r>
    </w:p>
    <w:p>
      <w:pPr>
        <w:spacing w:after="0" w:before="0" w:line="360" w:lineRule="auto"/>
        <w:ind w:left="0" w:right="0" w:firstLine="709"/>
        <w:jc w:val="both"/>
      </w:pPr>
      <w:r>
        <w:rPr>
          <w:rFonts w:ascii="Times New Roman" w:cs="Times New Roman" w:eastAsia="Times New Roman" w:hAnsi="Times New Roman"/>
          <w:sz w:val="28"/>
          <w:szCs w:val="28"/>
        </w:rPr>
        <w:t xml:space="preserve">ИНТЕРНЕТ-РЕСУРСЫ</w:t>
      </w:r>
    </w:p>
    <w:p>
      <w:pPr>
        <w:spacing w:after="0" w:before="0" w:line="360" w:lineRule="auto"/>
        <w:ind w:left="0" w:right="0" w:firstLine="709"/>
        <w:jc w:val="both"/>
      </w:pPr>
      <w:r>
        <w:rPr>
          <w:rFonts w:ascii="Times New Roman" w:cs="Times New Roman" w:eastAsia="Times New Roman" w:hAnsi="Times New Roman"/>
          <w:sz w:val="28"/>
          <w:szCs w:val="28"/>
        </w:rPr>
        <w:t xml:space="preserve">34. Документы - Правительство России. — URL: http://government.ru/docs/all/147043/ (дата обращения: 30.06.2026).</w:t>
      </w:r>
    </w:p>
    <w:p>
      <w:pPr>
        <w:spacing w:after="0" w:before="0" w:line="360" w:lineRule="auto"/>
        <w:ind w:left="0" w:right="0" w:firstLine="709"/>
        <w:jc w:val="both"/>
      </w:pPr>
      <w:r>
        <w:rPr>
          <w:rFonts w:ascii="Times New Roman" w:cs="Times New Roman" w:eastAsia="Times New Roman" w:hAnsi="Times New Roman"/>
          <w:sz w:val="28"/>
          <w:szCs w:val="28"/>
        </w:rPr>
        <w:t xml:space="preserve">35. Николаева, К. Обоснование экономической эффективности разработки и внедрения информационной системы на транспортном предприятии / К. Николаева. — 2026. — URL: https://studgen.ru/knowledge-base/219420 (дата обращения: 11.07.2026).</w:t>
      </w:r>
    </w:p>
    <w:sectPr>
      <w:footerReference w:type="default" r:id="rId7"/>
      <w:footerReference w:type="first" r:id="rId8"/>
      <w:pgSz w:w="11906" w:h="16838" w:orient="portrait"/>
      <w:pgMar w:top="1133" w:right="566" w:bottom="1133" w:left="17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line="240" w:lineRule="auto"/>
        <w:jc w:val="both"/>
      </w:pPr>
      <w:r>
        <w:rPr>
          <w:rStyle w:val="FootnoteReference"/>
        </w:rPr>
        <w:footnoteRef/>
      </w:r>
      <w:r>
        <w:rPr>
          <w:rFonts w:ascii="Times New Roman" w:cs="Times New Roman" w:eastAsia="Times New Roman" w:hAnsi="Times New Roman"/>
          <w:sz w:val="20"/>
          <w:szCs w:val="20"/>
        </w:rPr>
        <w:t xml:space="preserve"> Hammer, M. Reengineering the Corporation: A Manifesto for Business Revolution / M. Hammer, J. Champy. - New York: HarperBusiness, 1993. - 223 p.</w:t>
      </w:r>
    </w:p>
  </w:footnote>
  <w:footnote w:id="2">
    <w:p>
      <w:pPr>
        <w:spacing w:line="240" w:lineRule="auto"/>
        <w:jc w:val="both"/>
      </w:pPr>
      <w:r>
        <w:rPr>
          <w:rStyle w:val="FootnoteReference"/>
        </w:rPr>
        <w:footnoteRef/>
      </w:r>
      <w:r>
        <w:rPr>
          <w:rFonts w:ascii="Times New Roman" w:cs="Times New Roman" w:eastAsia="Times New Roman" w:hAnsi="Times New Roman"/>
          <w:sz w:val="20"/>
          <w:szCs w:val="20"/>
        </w:rPr>
        <w:t xml:space="preserve"> Deming, W. E. Out of the Crisis / W. E. Deming. - Cambridge: MIT Press, 1986. - 507 p.</w:t>
      </w:r>
    </w:p>
  </w:footnote>
  <w:footnote w:id="3">
    <w:p>
      <w:pPr>
        <w:spacing w:line="240" w:lineRule="auto"/>
        <w:jc w:val="both"/>
      </w:pPr>
      <w:r>
        <w:rPr>
          <w:rStyle w:val="FootnoteReference"/>
        </w:rPr>
        <w:footnoteRef/>
      </w:r>
      <w:r>
        <w:rPr>
          <w:rFonts w:ascii="Times New Roman" w:cs="Times New Roman" w:eastAsia="Times New Roman" w:hAnsi="Times New Roman"/>
          <w:sz w:val="20"/>
          <w:szCs w:val="20"/>
        </w:rPr>
        <w:t xml:space="preserve"> Goldratt, E. M. The Goal: A Process of Ongoing Improvement / E. M. Goldratt, J. Cox. - Great Barrington: North River Press, 1984. - 384 p.</w:t>
      </w:r>
    </w:p>
  </w:footnote>
  <w:footnote w:id="4">
    <w:p>
      <w:pPr>
        <w:spacing w:line="240" w:lineRule="auto"/>
        <w:jc w:val="both"/>
      </w:pPr>
      <w:r>
        <w:rPr>
          <w:rStyle w:val="FootnoteReference"/>
        </w:rPr>
        <w:footnoteRef/>
      </w:r>
      <w:r>
        <w:rPr>
          <w:rFonts w:ascii="Times New Roman" w:cs="Times New Roman" w:eastAsia="Times New Roman" w:hAnsi="Times New Roman"/>
          <w:sz w:val="20"/>
          <w:szCs w:val="20"/>
        </w:rPr>
        <w:t xml:space="preserve"> Schwab, K. The Fourth Industrial Revolution / K. Schwab. - Geneva: World Economic Forum, 2016. - 172 p.</w:t>
      </w:r>
    </w:p>
  </w:footnote>
  <w:footnote w:id="5">
    <w:p>
      <w:pPr>
        <w:spacing w:line="240" w:lineRule="auto"/>
        <w:jc w:val="both"/>
      </w:pPr>
      <w:r>
        <w:rPr>
          <w:rStyle w:val="FootnoteReference"/>
        </w:rPr>
        <w:footnoteRef/>
      </w:r>
      <w:r>
        <w:rPr>
          <w:rFonts w:ascii="Times New Roman" w:cs="Times New Roman" w:eastAsia="Times New Roman" w:hAnsi="Times New Roman"/>
          <w:sz w:val="20"/>
          <w:szCs w:val="20"/>
        </w:rPr>
        <w:t xml:space="preserve"> Наугольнова, И. А. Теоретические основы промышленного инжиниринга предприятий / И. А. Наугольнова // Экономика, предпринимательство и право. - 2023. - Т. 13, № 9. - С. 9–20.</w:t>
      </w:r>
    </w:p>
  </w:footnote>
  <w:footnote w:id="6">
    <w:p>
      <w:pPr>
        <w:spacing w:line="240" w:lineRule="auto"/>
        <w:jc w:val="both"/>
      </w:pPr>
      <w:r>
        <w:rPr>
          <w:rStyle w:val="FootnoteReference"/>
        </w:rPr>
        <w:footnoteRef/>
      </w:r>
      <w:r>
        <w:rPr>
          <w:rFonts w:ascii="Times New Roman" w:cs="Times New Roman" w:eastAsia="Times New Roman" w:hAnsi="Times New Roman"/>
          <w:sz w:val="20"/>
          <w:szCs w:val="20"/>
        </w:rPr>
        <w:t xml:space="preserve"> 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w:t>
      </w:r>
    </w:p>
  </w:footnote>
  <w:footnote w:id="7">
    <w:p>
      <w:pPr>
        <w:spacing w:line="240" w:lineRule="auto"/>
        <w:jc w:val="both"/>
      </w:pPr>
      <w:r>
        <w:rPr>
          <w:rStyle w:val="FootnoteReference"/>
        </w:rPr>
        <w:footnoteRef/>
      </w:r>
      <w:r>
        <w:rPr>
          <w:rFonts w:ascii="Times New Roman" w:cs="Times New Roman" w:eastAsia="Times New Roman" w:hAnsi="Times New Roman"/>
          <w:sz w:val="20"/>
          <w:szCs w:val="20"/>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w:t>
      </w:r>
    </w:p>
  </w:footnote>
  <w:footnote w:id="8">
    <w:p>
      <w:pPr>
        <w:spacing w:line="240" w:lineRule="auto"/>
        <w:jc w:val="both"/>
      </w:pPr>
      <w:r>
        <w:rPr>
          <w:rStyle w:val="FootnoteReference"/>
        </w:rPr>
        <w:footnoteRef/>
      </w:r>
      <w:r>
        <w:rPr>
          <w:rFonts w:ascii="Times New Roman" w:cs="Times New Roman" w:eastAsia="Times New Roman" w:hAnsi="Times New Roman"/>
          <w:sz w:val="20"/>
          <w:szCs w:val="20"/>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дис. … канд. экон. наук / В. Ю. Анисимова. - 2025.</w:t>
      </w:r>
    </w:p>
  </w:footnote>
  <w:footnote w:id="9">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10">
    <w:p>
      <w:pPr>
        <w:spacing w:line="240" w:lineRule="auto"/>
        <w:jc w:val="both"/>
      </w:pPr>
      <w:r>
        <w:rPr>
          <w:rStyle w:val="FootnoteReference"/>
        </w:rPr>
        <w:footnoteRef/>
      </w:r>
      <w:r>
        <w:rPr>
          <w:rFonts w:ascii="Times New Roman" w:cs="Times New Roman" w:eastAsia="Times New Roman" w:hAnsi="Times New Roman"/>
          <w:sz w:val="20"/>
          <w:szCs w:val="20"/>
        </w:rPr>
        <w:t xml:space="preserve"> Мачерет, Д. А. Методология совершенствования оценки экономической эффективности развития транспортной инфраструктуры / Д. А. Мачерет, А. Д. Разуваев // Управление. - 2024. - Т. 12, № 3. - DOI 10.26425/2309-3633-2024-12-3-26-35. - URL: https://upravlenie.guu.ru/jour/article/view/729 (дата обращения: 28.06.2026).</w:t>
      </w:r>
    </w:p>
  </w:footnote>
  <w:footnote w:id="11">
    <w:p>
      <w:pPr>
        <w:spacing w:line="240" w:lineRule="auto"/>
        <w:jc w:val="both"/>
      </w:pPr>
      <w:r>
        <w:rPr>
          <w:rStyle w:val="FootnoteReference"/>
        </w:rPr>
        <w:footnoteRef/>
      </w:r>
      <w:r>
        <w:rPr>
          <w:rFonts w:ascii="Times New Roman" w:cs="Times New Roman" w:eastAsia="Times New Roman" w:hAnsi="Times New Roman"/>
          <w:sz w:val="20"/>
          <w:szCs w:val="20"/>
        </w:rPr>
        <w:t xml:space="preserve"> Наугольнова, И. А. Теоретические основы промышленного инжиниринга предприятий / И. А. Наугольнова // Экономика, предпринимательство и право. - 2023. - Т. 13, № 9. - С. 9–20. - URL: https://cyberleninka.ru/article/n/teoreticheskie-osnovy-promyshlennogo-inzhiniringa-predpriyatiy (дата обращения: 09.07.2026).</w:t>
      </w:r>
    </w:p>
  </w:footnote>
  <w:footnote w:id="12">
    <w:p>
      <w:pPr>
        <w:spacing w:line="240" w:lineRule="auto"/>
        <w:jc w:val="both"/>
      </w:pPr>
      <w:r>
        <w:rPr>
          <w:rStyle w:val="FootnoteReference"/>
        </w:rPr>
        <w:footnoteRef/>
      </w:r>
      <w:r>
        <w:rPr>
          <w:rFonts w:ascii="Times New Roman" w:cs="Times New Roman" w:eastAsia="Times New Roman" w:hAnsi="Times New Roman"/>
          <w:sz w:val="20"/>
          <w:szCs w:val="20"/>
        </w:rPr>
        <w:t xml:space="preserve"> Разуваев, А. Д. Экономический аспект использования и развития транспортной инфраструктуры в городских агломерациях / А. Д. Разуваев, А. Ю. Ледней, Р. А. Титов, Е. И. Белозерова // Транспорт Российской Федерации. Журнал о науке, практике, экономике. - 2024. - Т. 0, № 5-6. - С. 21–33. - URL: https://rostransport.elpub.ru/jour/article/view/136 (дата обращения: 23.06.2026).</w:t>
      </w:r>
    </w:p>
  </w:footnote>
  <w:footnote w:id="13">
    <w:p>
      <w:pPr>
        <w:spacing w:line="240" w:lineRule="auto"/>
        <w:jc w:val="both"/>
      </w:pPr>
      <w:r>
        <w:rPr>
          <w:rStyle w:val="FootnoteReference"/>
        </w:rPr>
        <w:footnoteRef/>
      </w:r>
      <w:r>
        <w:rPr>
          <w:rFonts w:ascii="Times New Roman" w:cs="Times New Roman" w:eastAsia="Times New Roman" w:hAnsi="Times New Roman"/>
          <w:sz w:val="20"/>
          <w:szCs w:val="20"/>
        </w:rPr>
        <w:t xml:space="preserve"> Цыгляну, П. П. Развитие инструментария управления инжиниринговыми проектами в нефтегазовой компании / П. П. Цыгляну // disserCat. - 2023. - URL: https://www.dissercat.com/content/razvitie-instrumentariya-upravleniya-inzhiniringovymi-proektami-v-neftegazovoi-kompanii (дата обращения: 24.06.2026).</w:t>
      </w:r>
    </w:p>
  </w:footnote>
  <w:footnote w:id="14">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от 29.06.2015 № 162-ФЗ (ред. действующая). - URL: http://www.kremlin.ru/acts/bank/39815 (дата обращения: 24.06.2026).</w:t>
      </w:r>
    </w:p>
  </w:footnote>
  <w:footnote w:id="15">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16">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06.06.2020 № 1512-р (ред. действующая). - URL: https://internet-law.ru/documents/dop_documents/11/gost_48532/0/raspo.html (дата обращения: 19.06.2026).</w:t>
      </w:r>
    </w:p>
  </w:footnote>
  <w:footnote w:id="17">
    <w:p>
      <w:pPr>
        <w:spacing w:line="240" w:lineRule="auto"/>
        <w:jc w:val="both"/>
      </w:pPr>
      <w:r>
        <w:rPr>
          <w:rStyle w:val="FootnoteReference"/>
        </w:rPr>
        <w:footnoteRef/>
      </w:r>
      <w:r>
        <w:rPr>
          <w:rFonts w:ascii="Times New Roman" w:cs="Times New Roman" w:eastAsia="Times New Roman" w:hAnsi="Times New Roman"/>
          <w:sz w:val="20"/>
          <w:szCs w:val="20"/>
        </w:rPr>
        <w:t xml:space="preserve"> постановление Правительства РФ от 12.11.2021 № 1933 (ред. действующая). - URL: https://base.garant.ru/403071720/ (дата обращения: 30.06.2026).</w:t>
      </w:r>
    </w:p>
  </w:footnote>
  <w:footnote w:id="18">
    <w:p>
      <w:pPr>
        <w:spacing w:line="240" w:lineRule="auto"/>
        <w:jc w:val="both"/>
      </w:pPr>
      <w:r>
        <w:rPr>
          <w:rStyle w:val="FootnoteReference"/>
        </w:rPr>
        <w:footnoteRef/>
      </w:r>
      <w:r>
        <w:rPr>
          <w:rFonts w:ascii="Times New Roman" w:cs="Times New Roman" w:eastAsia="Times New Roman" w:hAnsi="Times New Roman"/>
          <w:sz w:val="20"/>
          <w:szCs w:val="20"/>
        </w:rPr>
        <w:t xml:space="preserve"> 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URL: https://1economic.ru/lib/124499 (дата обращения: 11.07.2026).</w:t>
      </w:r>
    </w:p>
  </w:footnote>
  <w:footnote w:id="19">
    <w:p>
      <w:pPr>
        <w:spacing w:line="240" w:lineRule="auto"/>
        <w:jc w:val="both"/>
      </w:pPr>
      <w:r>
        <w:rPr>
          <w:rStyle w:val="FootnoteReference"/>
        </w:rPr>
        <w:footnoteRef/>
      </w:r>
      <w:r>
        <w:rPr>
          <w:rFonts w:ascii="Times New Roman" w:cs="Times New Roman" w:eastAsia="Times New Roman" w:hAnsi="Times New Roman"/>
          <w:sz w:val="20"/>
          <w:szCs w:val="20"/>
        </w:rPr>
        <w:t xml:space="preserve"> Болгова, Е. В. Стратегические предпосылки и целевая модель развития ресурсосберегающей транспортно логистической системы в экономике региона / Е. В. Болгова, С. А. Болгов // Ars Administrandi. - 2024. - Т. 16, № 4. - С. 753–791. - URL: https://cyberleninka.ru/article/n/strategicheskie-predposylki-i-tselevaya-model-razvitiya-resursosberegayuschey-transportno-logisticheskoy-sistemy-v-ekonomike (дата обращения: 06.07.2026).</w:t>
      </w:r>
    </w:p>
  </w:footnote>
  <w:footnote w:id="20">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21">
    <w:p>
      <w:pPr>
        <w:spacing w:line="240" w:lineRule="auto"/>
        <w:jc w:val="both"/>
      </w:pPr>
      <w:r>
        <w:rPr>
          <w:rStyle w:val="FootnoteReference"/>
        </w:rPr>
        <w:footnoteRef/>
      </w:r>
      <w:r>
        <w:rPr>
          <w:rFonts w:ascii="Times New Roman" w:cs="Times New Roman" w:eastAsia="Times New Roman" w:hAnsi="Times New Roman"/>
          <w:sz w:val="20"/>
          <w:szCs w:val="20"/>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В. Ю. Анисимова // disserCat. - 2025. - URL: https://www.dissercat.com/content/metodologicheskie-osnovy-formirovaniya-protsessov-importooperezheniya-innovatsii-i-tekhnolog (дата обращения: 25.06.2026).</w:t>
      </w:r>
    </w:p>
  </w:footnote>
  <w:footnote w:id="22">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"Об основах государственного регулирования внешнеторговой деятельности" от 08.12.2003 N 164-ФЗ (последняя редакция) \ КонсультантПлюс. - URL: https://www.consultant.ru/document/cons_doc_LAW_45397/ (дата обращения: 18.06.2026).</w:t>
      </w:r>
    </w:p>
  </w:footnote>
  <w:footnote w:id="23">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 промышленной политике в Российской Федерации" от 31.12.2014 N 488-ФЗ (последняя редакция) \ КонсультантПлюс. - URL: https://www.consultant.ru/document/cons_doc_LAW_173119/ (дата обращения: 10.07.2026).</w:t>
      </w:r>
    </w:p>
  </w:footnote>
  <w:footnote w:id="24">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30.08.2019 № 1931-р (ред. действующая). - URL: https://www.garant.ru/products/ipo/prime/doc/72590266/ (дата обращения: 05.07.2026).</w:t>
      </w:r>
    </w:p>
  </w:footnote>
  <w:footnote w:id="25">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 защите конкуренции" от 26.07.2006 N 135-ФЗ (последняя редакция) \ КонсультантПлюс. - URL: https://www.consultant.ru/document/cons_doc_LAW_61763/ (дата обращения: 29.06.2026).</w:t>
      </w:r>
    </w:p>
  </w:footnote>
  <w:footnote w:id="26">
    <w:p>
      <w:pPr>
        <w:spacing w:line="240" w:lineRule="auto"/>
        <w:jc w:val="both"/>
      </w:pPr>
      <w:r>
        <w:rPr>
          <w:rStyle w:val="FootnoteReference"/>
        </w:rPr>
        <w:footnoteRef/>
      </w:r>
      <w:r>
        <w:rPr>
          <w:rFonts w:ascii="Times New Roman" w:cs="Times New Roman" w:eastAsia="Times New Roman" w:hAnsi="Times New Roman"/>
          <w:sz w:val="20"/>
          <w:szCs w:val="20"/>
        </w:rPr>
        <w:t xml:space="preserve"> Шарова, И. В. Управление транспортными рисками / И. В. Шарова, С. П. Галкина // Экономика, предпринимательство и право. - 2025. - Т. 15, № 2. - С. 2–17. - URL: https://cyberleninka.ru/article/n/upravlenie-transportnymi-riskami (дата обращения: 05.07.2026).</w:t>
      </w:r>
    </w:p>
  </w:footnote>
  <w:footnote w:id="27">
    <w:p>
      <w:pPr>
        <w:spacing w:line="240" w:lineRule="auto"/>
        <w:jc w:val="both"/>
      </w:pPr>
      <w:r>
        <w:rPr>
          <w:rStyle w:val="FootnoteReference"/>
        </w:rPr>
        <w:footnoteRef/>
      </w:r>
      <w:r>
        <w:rPr>
          <w:rFonts w:ascii="Times New Roman" w:cs="Times New Roman" w:eastAsia="Times New Roman" w:hAnsi="Times New Roman"/>
          <w:sz w:val="20"/>
          <w:szCs w:val="20"/>
        </w:rPr>
        <w:t xml:space="preserve"> Санникова, К. А. Развитие системы управления ESG-рисками при обеспечении экономической безопасности горнодобывающих предприятий / К. А. Санникова // disserCat. - 2024. - URL: https://www.dissercat.com/content/razvitie-sistemy-upravleniya-esg-riskami-pri-obespechenii-ekonomicheskoi-bezopasnosti-gornod (дата обращения: 04.07.2026).</w:t>
      </w:r>
    </w:p>
  </w:footnote>
  <w:footnote w:id="28">
    <w:p>
      <w:pPr>
        <w:spacing w:line="240" w:lineRule="auto"/>
        <w:jc w:val="both"/>
      </w:pPr>
      <w:r>
        <w:rPr>
          <w:rStyle w:val="FootnoteReference"/>
        </w:rPr>
        <w:footnoteRef/>
      </w:r>
      <w:r>
        <w:rPr>
          <w:rFonts w:ascii="Times New Roman" w:cs="Times New Roman" w:eastAsia="Times New Roman" w:hAnsi="Times New Roman"/>
          <w:sz w:val="20"/>
          <w:szCs w:val="20"/>
        </w:rPr>
        <w:t xml:space="preserve"> 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URL: https://moluch.ru/archive/506/111338 (дата обращения: 26.06.2026).</w:t>
      </w:r>
    </w:p>
  </w:footnote>
  <w:footnote w:id="29">
    <w:p>
      <w:pPr>
        <w:spacing w:line="240" w:lineRule="auto"/>
        <w:jc w:val="both"/>
      </w:pPr>
      <w:r>
        <w:rPr>
          <w:rStyle w:val="FootnoteReference"/>
        </w:rPr>
        <w:footnoteRef/>
      </w:r>
      <w:r>
        <w:rPr>
          <w:rFonts w:ascii="Times New Roman" w:cs="Times New Roman" w:eastAsia="Times New Roman" w:hAnsi="Times New Roman"/>
          <w:sz w:val="20"/>
          <w:szCs w:val="20"/>
        </w:rPr>
        <w:t xml:space="preserve"> Николаева, К. Обоснование экономической эффективности разработки и внедрения информационной системы на транспортном предприятии / К. Николаева. - 2026. - URL: https://studgen.ru/knowledge-base/219420 (дата обращения: 11.07.2026).</w:t>
      </w:r>
    </w:p>
  </w:footnote>
  <w:footnote w:id="30">
    <w:p>
      <w:pPr>
        <w:spacing w:line="240" w:lineRule="auto"/>
        <w:jc w:val="both"/>
      </w:pPr>
      <w:r>
        <w:rPr>
          <w:rStyle w:val="FootnoteReference"/>
        </w:rPr>
        <w:footnoteRef/>
      </w:r>
      <w:r>
        <w:rPr>
          <w:rFonts w:ascii="Times New Roman" w:cs="Times New Roman" w:eastAsia="Times New Roman" w:hAnsi="Times New Roman"/>
          <w:sz w:val="20"/>
          <w:szCs w:val="20"/>
        </w:rPr>
        <w:t xml:space="preserve">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disserCat. - 2025. - URL: https://www.dissercat.com/content/regionalnaya-ekonomicheskaya-politika-ispolzovaniya-gosudarstvenno-chastnogo-partnerstva-dly (дата обращения: 19.06.2026).</w:t>
      </w:r>
    </w:p>
  </w:footnote>
  <w:footnote w:id="31">
    <w:p>
      <w:pPr>
        <w:spacing w:line="240" w:lineRule="auto"/>
        <w:jc w:val="both"/>
      </w:pPr>
      <w:r>
        <w:rPr>
          <w:rStyle w:val="FootnoteReference"/>
        </w:rPr>
        <w:footnoteRef/>
      </w:r>
      <w:r>
        <w:rPr>
          <w:rFonts w:ascii="Times New Roman" w:cs="Times New Roman" w:eastAsia="Times New Roman" w:hAnsi="Times New Roman"/>
          <w:sz w:val="20"/>
          <w:szCs w:val="20"/>
        </w:rPr>
        <w:t xml:space="preserve"> ГИМАЕВА, А. Р. Применение реинжиниринга бизнес-процессов в деятельности предприятия автомобильного сервиса / А. Р. ГИМАЕВА, М. Г. НУРИЕВ, Р. С. ЗАРИПОВА // Russian Journal of Management. - 2024. - Т. 12, № 4. - С. 80–92. - DOI 10.29039/2500-1469-2024-12-4-80-92. - URL: https://rusjm.ru/ru/nauka/article/91749/view (дата обращения: 12.07.2026).</w:t>
      </w:r>
    </w:p>
  </w:footnote>
  <w:footnote w:id="32">
    <w:p>
      <w:pPr>
        <w:spacing w:line="240" w:lineRule="auto"/>
        <w:jc w:val="both"/>
      </w:pPr>
      <w:r>
        <w:rPr>
          <w:rStyle w:val="FootnoteReference"/>
        </w:rPr>
        <w:footnoteRef/>
      </w:r>
      <w:r>
        <w:rPr>
          <w:rFonts w:ascii="Times New Roman" w:cs="Times New Roman" w:eastAsia="Times New Roman" w:hAnsi="Times New Roman"/>
          <w:sz w:val="20"/>
          <w:szCs w:val="20"/>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disserCat. - 2025. - URL: https://www.dissercat.com/content/formirovanie-mekhanizmov-ustoichivogo-razvitiya-transportnykh-organizatsii-na-osnove-soglaso (дата обращения: 01.07.2026).</w:t>
      </w:r>
    </w:p>
  </w:footnote>
  <w:footnote w:id="33">
    <w:p>
      <w:pPr>
        <w:spacing w:line="240" w:lineRule="auto"/>
        <w:jc w:val="both"/>
      </w:pPr>
      <w:r>
        <w:rPr>
          <w:rStyle w:val="FootnoteReference"/>
        </w:rPr>
        <w:footnoteRef/>
      </w:r>
      <w:r>
        <w:rPr>
          <w:rFonts w:ascii="Times New Roman" w:cs="Times New Roman" w:eastAsia="Times New Roman" w:hAnsi="Times New Roman"/>
          <w:sz w:val="20"/>
          <w:szCs w:val="20"/>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disserCat. - 2024. - URL: https://www.dissercat.com/content/sovershenstvovanie-upravleniya-protsessami-perevozki-passazhirov-v-gorodskikh-aglomeratsiyak (дата обращения: 29.06.2026).</w:t>
      </w:r>
    </w:p>
  </w:footnote>
  <w:footnote w:id="34">
    <w:p>
      <w:pPr>
        <w:spacing w:line="240" w:lineRule="auto"/>
        <w:jc w:val="both"/>
      </w:pPr>
      <w:r>
        <w:rPr>
          <w:rStyle w:val="FootnoteReference"/>
        </w:rPr>
        <w:footnoteRef/>
      </w:r>
      <w:r>
        <w:rPr>
          <w:rFonts w:ascii="Times New Roman" w:cs="Times New Roman" w:eastAsia="Times New Roman" w:hAnsi="Times New Roman"/>
          <w:sz w:val="20"/>
          <w:szCs w:val="20"/>
        </w:rPr>
        <w:t xml:space="preserve"> Документы - Правительство России. - URL: http://government.ru/docs/all/147043/ (дата обращения: 30.06.2026).</w:t>
      </w:r>
    </w:p>
  </w:footnote>
  <w:footnote w:id="35">
    <w:p>
      <w:pPr>
        <w:spacing w:line="240" w:lineRule="auto"/>
        <w:jc w:val="both"/>
      </w:pPr>
      <w:r>
        <w:rPr>
          <w:rStyle w:val="FootnoteReference"/>
        </w:rPr>
        <w:footnoteRef/>
      </w:r>
      <w:r>
        <w:rPr>
          <w:rFonts w:ascii="Times New Roman" w:cs="Times New Roman" w:eastAsia="Times New Roman" w:hAnsi="Times New Roman"/>
          <w:sz w:val="20"/>
          <w:szCs w:val="20"/>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URL: https://cyberleninka.ru/article/n/tsifrovaya-transformatsiya-predpriyatiy-na-osnove-protsessno-proektnogo-podhoda (дата обращения: 02.07.2026).</w:t>
      </w:r>
    </w:p>
  </w:footnote>
  <w:footnote w:id="36">
    <w:p>
      <w:pPr>
        <w:spacing w:line="240" w:lineRule="auto"/>
        <w:jc w:val="both"/>
      </w:pPr>
      <w:r>
        <w:rPr>
          <w:rStyle w:val="FootnoteReference"/>
        </w:rPr>
        <w:footnoteRef/>
      </w:r>
      <w:r>
        <w:rPr>
          <w:rFonts w:ascii="Times New Roman" w:cs="Times New Roman" w:eastAsia="Times New Roman" w:hAnsi="Times New Roman"/>
          <w:sz w:val="20"/>
          <w:szCs w:val="20"/>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URL: https://cyberleninka.ru/article/n/instrumenty-promyshlennoy-politiki-dlya-obespecheniya-tehnologicheskogo-suvereniteta (дата обращения: 27.06.2026).</w:t>
      </w:r>
    </w:p>
  </w:footnote>
  <w:footnote w:id="37">
    <w:p>
      <w:pPr>
        <w:spacing w:line="240" w:lineRule="auto"/>
        <w:jc w:val="both"/>
      </w:pPr>
      <w:r>
        <w:rPr>
          <w:rStyle w:val="FootnoteReference"/>
        </w:rPr>
        <w:footnoteRef/>
      </w:r>
      <w:r>
        <w:rPr>
          <w:rFonts w:ascii="Times New Roman" w:cs="Times New Roman" w:eastAsia="Times New Roman" w:hAnsi="Times New Roman"/>
          <w:sz w:val="20"/>
          <w:szCs w:val="20"/>
        </w:rPr>
        <w:t xml:space="preserve">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URL: https://cyberleninka.ru/article/n/sovremennye-tehnologii-modelirovaniya-biznes-protsessov-v-proektno-izyskatelskoy-deyatelnosti-analiz-i-tendentsii (дата обращения: 03.07.2026).</w:t>
      </w:r>
    </w:p>
  </w:footnote>
  <w:footnote w:id="38">
    <w:p>
      <w:pPr>
        <w:spacing w:line="240" w:lineRule="auto"/>
        <w:jc w:val="both"/>
      </w:pPr>
      <w:r>
        <w:rPr>
          <w:rStyle w:val="FootnoteReference"/>
        </w:rPr>
        <w:footnoteRef/>
      </w:r>
      <w:r>
        <w:rPr>
          <w:rFonts w:ascii="Times New Roman" w:cs="Times New Roman" w:eastAsia="Times New Roman" w:hAnsi="Times New Roman"/>
          <w:sz w:val="20"/>
          <w:szCs w:val="20"/>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E-Management. - 2026. - Т. 8, № 4. - DOI 10.26425/2658-3445-2025-8-4-4-21. - URL: https://e-management.guu.ru/jour/article/view/616 (дата обращения: 08.07.2026).</w:t>
      </w:r>
    </w:p>
  </w:footnote>
  <w:footnote w:id="39">
    <w:p>
      <w:pPr>
        <w:spacing w:line="240" w:lineRule="auto"/>
        <w:jc w:val="both"/>
      </w:pPr>
      <w:r>
        <w:rPr>
          <w:rStyle w:val="FootnoteReference"/>
        </w:rPr>
        <w:footnoteRef/>
      </w:r>
      <w:r>
        <w:rPr>
          <w:rFonts w:ascii="Times New Roman" w:cs="Times New Roman" w:eastAsia="Times New Roman" w:hAnsi="Times New Roman"/>
          <w:sz w:val="20"/>
          <w:szCs w:val="20"/>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footnote>
  <w:footnote w:id="40">
    <w:p>
      <w:pPr>
        <w:spacing w:line="240" w:lineRule="auto"/>
        <w:jc w:val="both"/>
      </w:pPr>
      <w:r>
        <w:rPr>
          <w:rStyle w:val="FootnoteReference"/>
        </w:rPr>
        <w:footnoteRef/>
      </w:r>
      <w:r>
        <w:rPr>
          <w:rFonts w:ascii="Times New Roman" w:cs="Times New Roman" w:eastAsia="Times New Roman" w:hAnsi="Times New Roman"/>
          <w:sz w:val="20"/>
          <w:szCs w:val="20"/>
        </w:rPr>
        <w:t xml:space="preserve"> Маскаева, Е. Ю. Экономическое обоснование проектов развития железнодорожных пассажирских перевозок в агломерации / Е. Ю. Маскаева // disserCat. - 2025. - URL: https://www.dissercat.com/content/ekonomicheskoe-obosnovanie-proektov-razvitiya-zheleznodorozhnykh-passazhirskikh-perevozok (дата обращения: 14.07.2026).</w:t>
      </w:r>
    </w:p>
  </w:footnote>
  <w:footnote w:id="41">
    <w:p>
      <w:pPr>
        <w:spacing w:line="240" w:lineRule="auto"/>
        <w:jc w:val="both"/>
      </w:pPr>
      <w:r>
        <w:rPr>
          <w:rStyle w:val="FootnoteReference"/>
        </w:rPr>
        <w:footnoteRef/>
      </w:r>
      <w:r>
        <w:rPr>
          <w:rFonts w:ascii="Times New Roman" w:cs="Times New Roman" w:eastAsia="Times New Roman" w:hAnsi="Times New Roman"/>
          <w:sz w:val="20"/>
          <w:szCs w:val="20"/>
        </w:rPr>
        <w:t xml:space="preserve">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URL: https://sciup.org/metodologija-ocenki-jeffektivnosti-vnedrenija-intellektualnyh-tehnologij-v-148328241 (дата обращения: 18.06.2026).</w:t>
      </w:r>
    </w:p>
  </w:footnote>
  <w:footnote w:id="42">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30.08.2019 № 1931-р (ред. действующая). - URL: https://www.garant.ru/products/ipo/prime/doc/72590266/ (дата обращения: 05.07.2026).</w:t>
      </w:r>
    </w:p>
  </w:footnote>
  <w:footnote w:id="43">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06.06.2020 № 1512-р (ред. действующая). - URL: https://internet-law.ru/documents/dop_documents/11/gost_48532/0/raspo.html (дата обращения: 19.06.2026).</w:t>
      </w:r>
    </w:p>
  </w:footnote>
  <w:footnote w:id="44">
    <w:p>
      <w:pPr>
        <w:spacing w:line="240" w:lineRule="auto"/>
        <w:jc w:val="both"/>
      </w:pPr>
      <w:r>
        <w:rPr>
          <w:rStyle w:val="FootnoteReference"/>
        </w:rPr>
        <w:footnoteRef/>
      </w:r>
      <w:r>
        <w:rPr>
          <w:rFonts w:ascii="Times New Roman" w:cs="Times New Roman" w:eastAsia="Times New Roman" w:hAnsi="Times New Roman"/>
          <w:sz w:val="20"/>
          <w:szCs w:val="20"/>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URL: https://cyberleninka.ru/article/n/tsifrovaya-transformatsiya-predpriyatiy-na-osnove-protsessno-proektnogo-podhoda (дата обращения: 02.07.2026).</w:t>
      </w:r>
    </w:p>
  </w:footnote>
  <w:footnote w:id="45">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"Об основах государственного регулирования внешнеторговой деятельности" от 08.12.2003 N 164-ФЗ (последняя редакция) \ КонсультантПлюс. - URL: https://www.consultant.ru/document/cons_doc_LAW_45397/ (дата обращения: 18.06.2026).</w:t>
      </w:r>
    </w:p>
  </w:footnote>
  <w:footnote w:id="46">
    <w:p>
      <w:pPr>
        <w:spacing w:line="240" w:lineRule="auto"/>
        <w:jc w:val="both"/>
      </w:pPr>
      <w:r>
        <w:rPr>
          <w:rStyle w:val="FootnoteReference"/>
        </w:rPr>
        <w:footnoteRef/>
      </w:r>
      <w:r>
        <w:rPr>
          <w:rFonts w:ascii="Times New Roman" w:cs="Times New Roman" w:eastAsia="Times New Roman" w:hAnsi="Times New Roman"/>
          <w:sz w:val="20"/>
          <w:szCs w:val="20"/>
        </w:rPr>
        <w:t xml:space="preserve"> Быстров, А. В. Формирование прямых затрат на текущее содержание грузонапряженных участков железнодорожной инфраструктуры / А. В. Быстров // disserCat. - 2025. - URL: https://www.dissercat.com/content/formirovanie-pryamykh-zatrat-na-tekushchee-soderzhanie-gruzonapryazhennykh-uchastkov-zhelezn (дата обращения: 20.06.2026).</w:t>
      </w:r>
    </w:p>
  </w:footnote>
  <w:footnote w:id="47">
    <w:p>
      <w:pPr>
        <w:spacing w:line="240" w:lineRule="auto"/>
        <w:jc w:val="both"/>
      </w:pPr>
      <w:r>
        <w:rPr>
          <w:rStyle w:val="FootnoteReference"/>
        </w:rPr>
        <w:footnoteRef/>
      </w:r>
      <w:r>
        <w:rPr>
          <w:rFonts w:ascii="Times New Roman" w:cs="Times New Roman" w:eastAsia="Times New Roman" w:hAnsi="Times New Roman"/>
          <w:sz w:val="20"/>
          <w:szCs w:val="20"/>
        </w:rPr>
        <w:t xml:space="preserve"> Болгова, Е. В. Стратегические предпосылки и целевая модель развития ресурсосберегающей транспортно логистической системы в экономике региона / Е. В. Болгова, С. А. Болгов // Ars Administrandi. - 2024. - Т. 16, № 4. - С. 753–791. - URL: https://cyberleninka.ru/article/n/strategicheskie-predposylki-i-tselevaya-model-razvitiya-resursosberegayuschey-transportno-logisticheskoy-sistemy-v-ekonomike (дата обращения: 06.07.2026).</w:t>
      </w:r>
    </w:p>
  </w:footnote>
  <w:footnote w:id="48">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"Об основах государственного регулирования внешнеторговой деятельности" от 08.12.2003 N 164-ФЗ (последняя редакция) \ КонсультантПлюс. - URL: https://www.consultant.ru/document/cons_doc_LAW_45397/ (дата обращения: 18.06.2026).</w:t>
      </w:r>
    </w:p>
  </w:footnote>
  <w:footnote w:id="49">
    <w:p>
      <w:pPr>
        <w:spacing w:line="240" w:lineRule="auto"/>
        <w:jc w:val="both"/>
      </w:pPr>
      <w:r>
        <w:rPr>
          <w:rStyle w:val="FootnoteReference"/>
        </w:rPr>
        <w:footnoteRef/>
      </w:r>
      <w:r>
        <w:rPr>
          <w:rFonts w:ascii="Times New Roman" w:cs="Times New Roman" w:eastAsia="Times New Roman" w:hAnsi="Times New Roman"/>
          <w:sz w:val="20"/>
          <w:szCs w:val="20"/>
        </w:rPr>
        <w:t xml:space="preserve"> 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URL: https://moluch.ru/archive/506/111338 (дата обращения: 26.06.2026).</w:t>
      </w:r>
    </w:p>
  </w:footnote>
  <w:footnote w:id="50">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51">
    <w:p>
      <w:pPr>
        <w:spacing w:line="240" w:lineRule="auto"/>
        <w:jc w:val="both"/>
      </w:pPr>
      <w:r>
        <w:rPr>
          <w:rStyle w:val="FootnoteReference"/>
        </w:rPr>
        <w:footnoteRef/>
      </w:r>
      <w:r>
        <w:rPr>
          <w:rFonts w:ascii="Times New Roman" w:cs="Times New Roman" w:eastAsia="Times New Roman" w:hAnsi="Times New Roman"/>
          <w:sz w:val="20"/>
          <w:szCs w:val="20"/>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URL: https://cyberleninka.ru/article/n/tsifrovaya-transformatsiya-predpriyatiy-na-osnove-protsessno-proektnogo-podhoda (дата обращения: 02.07.2026).</w:t>
      </w:r>
    </w:p>
  </w:footnote>
  <w:footnote w:id="52">
    <w:p>
      <w:pPr>
        <w:spacing w:line="240" w:lineRule="auto"/>
        <w:jc w:val="both"/>
      </w:pPr>
      <w:r>
        <w:rPr>
          <w:rStyle w:val="FootnoteReference"/>
        </w:rPr>
        <w:footnoteRef/>
      </w:r>
      <w:r>
        <w:rPr>
          <w:rFonts w:ascii="Times New Roman" w:cs="Times New Roman" w:eastAsia="Times New Roman" w:hAnsi="Times New Roman"/>
          <w:sz w:val="20"/>
          <w:szCs w:val="20"/>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footnote>
  <w:footnote w:id="53">
    <w:p>
      <w:pPr>
        <w:spacing w:line="240" w:lineRule="auto"/>
        <w:jc w:val="both"/>
      </w:pPr>
      <w:r>
        <w:rPr>
          <w:rStyle w:val="FootnoteReference"/>
        </w:rPr>
        <w:footnoteRef/>
      </w:r>
      <w:r>
        <w:rPr>
          <w:rFonts w:ascii="Times New Roman" w:cs="Times New Roman" w:eastAsia="Times New Roman" w:hAnsi="Times New Roman"/>
          <w:sz w:val="20"/>
          <w:szCs w:val="20"/>
        </w:rPr>
        <w:t xml:space="preserve"> Цыгляну, П. П. Развитие инструментария управления инжиниринговыми проектами в нефтегазовой компании / П. П. Цыгляну // disserCat. - 2023. - URL: https://www.dissercat.com/content/razvitie-instrumentariya-upravleniya-inzhiniringovymi-proektami-v-neftegazovoi-kompanii (дата обращения: 24.06.2026).</w:t>
      </w:r>
    </w:p>
  </w:footnote>
  <w:footnote w:id="54">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55">
    <w:p>
      <w:pPr>
        <w:spacing w:line="240" w:lineRule="auto"/>
        <w:jc w:val="both"/>
      </w:pPr>
      <w:r>
        <w:rPr>
          <w:rStyle w:val="FootnoteReference"/>
        </w:rPr>
        <w:footnoteRef/>
      </w:r>
      <w:r>
        <w:rPr>
          <w:rFonts w:ascii="Times New Roman" w:cs="Times New Roman" w:eastAsia="Times New Roman" w:hAnsi="Times New Roman"/>
          <w:sz w:val="20"/>
          <w:szCs w:val="20"/>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E-Management. - 2026. - Т. 8, № 4. - DOI 10.26425/2658-3445-2025-8-4-4-21. - URL: https://e-management.guu.ru/jour/article/view/616 (дата обращения: 08.07.2026).</w:t>
      </w:r>
    </w:p>
  </w:footnote>
  <w:footnote w:id="56">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"Об основах государственного регулирования внешнеторговой деятельности" от 08.12.2003 N 164-ФЗ (последняя редакция) \ КонсультантПлюс. - URL: https://www.consultant.ru/document/cons_doc_LAW_45397/ (дата обращения: 18.06.2026).</w:t>
      </w:r>
    </w:p>
  </w:footnote>
  <w:footnote w:id="57">
    <w:p>
      <w:pPr>
        <w:spacing w:line="240" w:lineRule="auto"/>
        <w:jc w:val="both"/>
      </w:pPr>
      <w:r>
        <w:rPr>
          <w:rStyle w:val="FootnoteReference"/>
        </w:rPr>
        <w:footnoteRef/>
      </w:r>
      <w:r>
        <w:rPr>
          <w:rFonts w:ascii="Times New Roman" w:cs="Times New Roman" w:eastAsia="Times New Roman" w:hAnsi="Times New Roman"/>
          <w:sz w:val="20"/>
          <w:szCs w:val="20"/>
        </w:rPr>
        <w:t xml:space="preserve"> ГИМАЕВА, А. Р. Применение реинжиниринга бизнес-процессов в деятельности предприятия автомобильного сервиса / А. Р. ГИМАЕВА, М. Г. НУРИЕВ, Р. С. ЗАРИПОВА // Russian Journal of Management. - 2024. - Т. 12, № 4. - С. 80–92. - DOI 10.29039/2500-1469-2024-12-4-80-92. - URL: https://rusjm.ru/ru/nauka/article/91749/view (дата обращения: 12.07.2026).</w:t>
      </w:r>
    </w:p>
  </w:footnote>
  <w:footnote w:id="58">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59">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60">
    <w:p>
      <w:pPr>
        <w:spacing w:line="240" w:lineRule="auto"/>
        <w:jc w:val="both"/>
      </w:pPr>
      <w:r>
        <w:rPr>
          <w:rStyle w:val="FootnoteReference"/>
        </w:rPr>
        <w:footnoteRef/>
      </w:r>
      <w:r>
        <w:rPr>
          <w:rFonts w:ascii="Times New Roman" w:cs="Times New Roman" w:eastAsia="Times New Roman" w:hAnsi="Times New Roman"/>
          <w:sz w:val="20"/>
          <w:szCs w:val="20"/>
        </w:rPr>
        <w:t xml:space="preserve"> Санникова, К. А. Развитие системы управления ESG-рисками при обеспечении экономической безопасности горнодобывающих предприятий / К. А. Санникова // disserCat. - 2024. - URL: https://www.dissercat.com/content/razvitie-sistemy-upravleniya-esg-riskami-pri-obespechenii-ekonomicheskoi-bezopasnosti-gornod (дата обращения: 04.07.2026).</w:t>
      </w:r>
    </w:p>
  </w:footnote>
  <w:footnote w:id="61">
    <w:p>
      <w:pPr>
        <w:spacing w:line="240" w:lineRule="auto"/>
        <w:jc w:val="both"/>
      </w:pPr>
      <w:r>
        <w:rPr>
          <w:rStyle w:val="FootnoteReference"/>
        </w:rPr>
        <w:footnoteRef/>
      </w:r>
      <w:r>
        <w:rPr>
          <w:rFonts w:ascii="Times New Roman" w:cs="Times New Roman" w:eastAsia="Times New Roman" w:hAnsi="Times New Roman"/>
          <w:sz w:val="20"/>
          <w:szCs w:val="20"/>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URL: https://cyberleninka.ru/article/n/tsifrovaya-transformatsiya-predpriyatiy-na-osnove-protsessno-proektnogo-podhoda (дата обращения: 02.07.2026).</w:t>
      </w:r>
    </w:p>
  </w:footnote>
  <w:footnote w:id="62">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от 29.06.2015 № 162-ФЗ (ред. действующая). - URL: http://www.kremlin.ru/acts/bank/39815 (дата обращения: 24.06.2026).</w:t>
      </w:r>
    </w:p>
  </w:footnote>
  <w:footnote w:id="63">
    <w:p>
      <w:pPr>
        <w:spacing w:line="240" w:lineRule="auto"/>
        <w:jc w:val="both"/>
      </w:pPr>
      <w:r>
        <w:rPr>
          <w:rStyle w:val="FootnoteReference"/>
        </w:rPr>
        <w:footnoteRef/>
      </w:r>
      <w:r>
        <w:rPr>
          <w:rFonts w:ascii="Times New Roman" w:cs="Times New Roman" w:eastAsia="Times New Roman" w:hAnsi="Times New Roman"/>
          <w:sz w:val="20"/>
          <w:szCs w:val="20"/>
        </w:rPr>
        <w:t xml:space="preserve"> постановление Правительства РФ от 12.11.2021 № 1933 (ред. действующая). - URL: https://base.garant.ru/403071720/ (дата обращения: 30.06.2026).</w:t>
      </w:r>
    </w:p>
  </w:footnote>
  <w:footnote w:id="64">
    <w:p>
      <w:pPr>
        <w:spacing w:line="240" w:lineRule="auto"/>
        <w:jc w:val="both"/>
      </w:pPr>
      <w:r>
        <w:rPr>
          <w:rStyle w:val="FootnoteReference"/>
        </w:rPr>
        <w:footnoteRef/>
      </w:r>
      <w:r>
        <w:rPr>
          <w:rFonts w:ascii="Times New Roman" w:cs="Times New Roman" w:eastAsia="Times New Roman" w:hAnsi="Times New Roman"/>
          <w:sz w:val="20"/>
          <w:szCs w:val="20"/>
        </w:rPr>
        <w:t xml:space="preserve"> 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URL: https://1economic.ru/lib/124499 (дата обращения: 11.07.2026).</w:t>
      </w:r>
    </w:p>
  </w:footnote>
  <w:footnote w:id="65">
    <w:p>
      <w:pPr>
        <w:spacing w:line="240" w:lineRule="auto"/>
        <w:jc w:val="both"/>
      </w:pPr>
      <w:r>
        <w:rPr>
          <w:rStyle w:val="FootnoteReference"/>
        </w:rPr>
        <w:footnoteRef/>
      </w:r>
      <w:r>
        <w:rPr>
          <w:rFonts w:ascii="Times New Roman" w:cs="Times New Roman" w:eastAsia="Times New Roman" w:hAnsi="Times New Roman"/>
          <w:sz w:val="20"/>
          <w:szCs w:val="20"/>
        </w:rPr>
        <w:t xml:space="preserve"> Документы - Правительство России. - URL: http://government.ru/docs/all/147043/ (дата обращения: 30.06.2026).</w:t>
      </w:r>
    </w:p>
  </w:footnote>
  <w:footnote w:id="66">
    <w:p>
      <w:pPr>
        <w:spacing w:line="240" w:lineRule="auto"/>
        <w:jc w:val="both"/>
      </w:pPr>
      <w:r>
        <w:rPr>
          <w:rStyle w:val="FootnoteReference"/>
        </w:rPr>
        <w:footnoteRef/>
      </w:r>
      <w:r>
        <w:rPr>
          <w:rFonts w:ascii="Times New Roman" w:cs="Times New Roman" w:eastAsia="Times New Roman" w:hAnsi="Times New Roman"/>
          <w:sz w:val="20"/>
          <w:szCs w:val="20"/>
        </w:rPr>
        <w:t xml:space="preserve">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URL: https://cyberleninka.ru/article/n/sovremennye-tehnologii-modelirovaniya-biznes-protsessov-v-proektno-izyskatelskoy-deyatelnosti-analiz-i-tendentsii (дата обращения: 03.07.2026).</w:t>
      </w:r>
    </w:p>
  </w:footnote>
  <w:footnote w:id="67">
    <w:p>
      <w:pPr>
        <w:spacing w:line="240" w:lineRule="auto"/>
        <w:jc w:val="both"/>
      </w:pPr>
      <w:r>
        <w:rPr>
          <w:rStyle w:val="FootnoteReference"/>
        </w:rPr>
        <w:footnoteRef/>
      </w:r>
      <w:r>
        <w:rPr>
          <w:rFonts w:ascii="Times New Roman" w:cs="Times New Roman" w:eastAsia="Times New Roman" w:hAnsi="Times New Roman"/>
          <w:sz w:val="20"/>
          <w:szCs w:val="20"/>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URL: https://cyberleninka.ru/article/n/instrumenty-promyshlennoy-politiki-dlya-obespecheniya-tehnologicheskogo-suvereniteta (дата обращения: 27.06.2026).</w:t>
      </w:r>
    </w:p>
  </w:footnote>
  <w:footnote w:id="68">
    <w:p>
      <w:pPr>
        <w:spacing w:line="240" w:lineRule="auto"/>
        <w:jc w:val="both"/>
      </w:pPr>
      <w:r>
        <w:rPr>
          <w:rStyle w:val="FootnoteReference"/>
        </w:rPr>
        <w:footnoteRef/>
      </w:r>
      <w:r>
        <w:rPr>
          <w:rFonts w:ascii="Times New Roman" w:cs="Times New Roman" w:eastAsia="Times New Roman" w:hAnsi="Times New Roman"/>
          <w:sz w:val="20"/>
          <w:szCs w:val="20"/>
        </w:rPr>
        <w:t xml:space="preserve"> Цыгляну, П. П. Развитие инструментария управления инжиниринговыми проектами в нефтегазовой компании / П. П. Цыгляну // disserCat. - 2023. - URL: https://www.dissercat.com/content/razvitie-instrumentariya-upravleniya-inzhiniringovymi-proektami-v-neftegazovoi-kompanii (дата обращения: 24.06.2026).</w:t>
      </w:r>
    </w:p>
  </w:footnote>
  <w:footnote w:id="69">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70">
    <w:p>
      <w:pPr>
        <w:spacing w:line="240" w:lineRule="auto"/>
        <w:jc w:val="both"/>
      </w:pPr>
      <w:r>
        <w:rPr>
          <w:rStyle w:val="FootnoteReference"/>
        </w:rPr>
        <w:footnoteRef/>
      </w:r>
      <w:r>
        <w:rPr>
          <w:rFonts w:ascii="Times New Roman" w:cs="Times New Roman" w:eastAsia="Times New Roman" w:hAnsi="Times New Roman"/>
          <w:sz w:val="20"/>
          <w:szCs w:val="20"/>
        </w:rPr>
        <w:t xml:space="preserve"> Шарова, И. В. Управление транспортными рисками / И. В. Шарова, С. П. Галкина // Экономика, предпринимательство и право. - 2025. - Т. 15, № 2. - С. 2–17. - URL: https://cyberleninka.ru/article/n/upravlenie-transportnymi-riskami (дата обращения: 05.07.2026).</w:t>
      </w:r>
    </w:p>
  </w:footnote>
  <w:footnote w:id="71">
    <w:p>
      <w:pPr>
        <w:spacing w:line="240" w:lineRule="auto"/>
        <w:jc w:val="both"/>
      </w:pPr>
      <w:r>
        <w:rPr>
          <w:rStyle w:val="FootnoteReference"/>
        </w:rPr>
        <w:footnoteRef/>
      </w:r>
      <w:r>
        <w:rPr>
          <w:rFonts w:ascii="Times New Roman" w:cs="Times New Roman" w:eastAsia="Times New Roman" w:hAnsi="Times New Roman"/>
          <w:sz w:val="20"/>
          <w:szCs w:val="20"/>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footnote>
  <w:footnote w:id="72">
    <w:p>
      <w:pPr>
        <w:spacing w:line="240" w:lineRule="auto"/>
        <w:jc w:val="both"/>
      </w:pPr>
      <w:r>
        <w:rPr>
          <w:rStyle w:val="FootnoteReference"/>
        </w:rPr>
        <w:footnoteRef/>
      </w:r>
      <w:r>
        <w:rPr>
          <w:rFonts w:ascii="Times New Roman" w:cs="Times New Roman" w:eastAsia="Times New Roman" w:hAnsi="Times New Roman"/>
          <w:sz w:val="20"/>
          <w:szCs w:val="20"/>
        </w:rPr>
        <w:t xml:space="preserve"> Николаева, К. Обоснование экономической эффективности разработки и внедрения информационной системы на транспортном предприятии / К. Николаева. - 2026. - URL: https://studgen.ru/knowledge-base/219420 (дата обращения: 11.07.2026).</w:t>
      </w:r>
    </w:p>
  </w:footnote>
  <w:footnote w:id="73">
    <w:p>
      <w:pPr>
        <w:spacing w:line="240" w:lineRule="auto"/>
        <w:jc w:val="both"/>
      </w:pPr>
      <w:r>
        <w:rPr>
          <w:rStyle w:val="FootnoteReference"/>
        </w:rPr>
        <w:footnoteRef/>
      </w:r>
      <w:r>
        <w:rPr>
          <w:rFonts w:ascii="Times New Roman" w:cs="Times New Roman" w:eastAsia="Times New Roman" w:hAnsi="Times New Roman"/>
          <w:sz w:val="20"/>
          <w:szCs w:val="20"/>
        </w:rPr>
        <w:t xml:space="preserve"> Маскаева, Е. Ю. Экономическое обоснование проектов развития железнодорожных пассажирских перевозок в агломерации / Е. Ю. Маскаева // disserCat. - 2025. - URL: https://www.dissercat.com/content/ekonomicheskoe-obosnovanie-proektov-razvitiya-zheleznodorozhnykh-passazhirskikh-perevozok (дата обращения: 14.07.2026).</w:t>
      </w:r>
    </w:p>
  </w:footnote>
  <w:footnote w:id="74">
    <w:p>
      <w:pPr>
        <w:spacing w:line="240" w:lineRule="auto"/>
        <w:jc w:val="both"/>
      </w:pPr>
      <w:r>
        <w:rPr>
          <w:rStyle w:val="FootnoteReference"/>
        </w:rPr>
        <w:footnoteRef/>
      </w:r>
      <w:r>
        <w:rPr>
          <w:rFonts w:ascii="Times New Roman" w:cs="Times New Roman" w:eastAsia="Times New Roman" w:hAnsi="Times New Roman"/>
          <w:sz w:val="20"/>
          <w:szCs w:val="20"/>
        </w:rPr>
        <w:t xml:space="preserve">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URL: https://sciup.org/metodologija-ocenki-jeffektivnosti-vnedrenija-intellektualnyh-tehnologij-v-148328241 (дата обращения: 18.06.2026).</w:t>
      </w:r>
    </w:p>
  </w:footnote>
  <w:footnote w:id="75">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от 29.06.2015 № 162-ФЗ (ред. действующая). - URL: http://www.kremlin.ru/acts/bank/39815 (дата обращения: 24.06.2026).</w:t>
      </w:r>
    </w:p>
  </w:footnote>
  <w:footnote w:id="76">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30.08.2019 № 1931-р (ред. действующая). - URL: https://www.garant.ru/products/ipo/prime/doc/72590266/ (дата обращения: 05.07.2026).</w:t>
      </w:r>
    </w:p>
  </w:footnote>
  <w:footnote w:id="77">
    <w:p>
      <w:pPr>
        <w:spacing w:line="240" w:lineRule="auto"/>
        <w:jc w:val="both"/>
      </w:pPr>
      <w:r>
        <w:rPr>
          <w:rStyle w:val="FootnoteReference"/>
        </w:rPr>
        <w:footnoteRef/>
      </w:r>
      <w:r>
        <w:rPr>
          <w:rFonts w:ascii="Times New Roman" w:cs="Times New Roman" w:eastAsia="Times New Roman" w:hAnsi="Times New Roman"/>
          <w:sz w:val="20"/>
          <w:szCs w:val="20"/>
        </w:rPr>
        <w:t xml:space="preserve"> Быстров, А. В. Формирование прямых затрат на текущее содержание грузонапряженных участков железнодорожной инфраструктуры / А. В. Быстров // disserCat. - 2025. - URL: https://www.dissercat.com/content/formirovanie-pryamykh-zatrat-na-tekushchee-soderzhanie-gruzonapryazhennykh-uchastkov-zhelezn (дата обращения: 20.06.2026).</w:t>
      </w:r>
    </w:p>
  </w:footnote>
  <w:footnote w:id="78">
    <w:p>
      <w:pPr>
        <w:spacing w:line="240" w:lineRule="auto"/>
        <w:jc w:val="both"/>
      </w:pPr>
      <w:r>
        <w:rPr>
          <w:rStyle w:val="FootnoteReference"/>
        </w:rPr>
        <w:footnoteRef/>
      </w:r>
      <w:r>
        <w:rPr>
          <w:rFonts w:ascii="Times New Roman" w:cs="Times New Roman" w:eastAsia="Times New Roman" w:hAnsi="Times New Roman"/>
          <w:sz w:val="20"/>
          <w:szCs w:val="20"/>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URL: https://cyberleninka.ru/article/n/instrumenty-promyshlennoy-politiki-dlya-obespecheniya-tehnologicheskogo-suvereniteta (дата обращения: 27.06.2026).</w:t>
      </w:r>
    </w:p>
  </w:footnote>
  <w:footnote w:id="79">
    <w:p>
      <w:pPr>
        <w:spacing w:line="240" w:lineRule="auto"/>
        <w:jc w:val="both"/>
      </w:pPr>
      <w:r>
        <w:rPr>
          <w:rStyle w:val="FootnoteReference"/>
        </w:rPr>
        <w:footnoteRef/>
      </w:r>
      <w:r>
        <w:rPr>
          <w:rFonts w:ascii="Times New Roman" w:cs="Times New Roman" w:eastAsia="Times New Roman" w:hAnsi="Times New Roman"/>
          <w:sz w:val="20"/>
          <w:szCs w:val="20"/>
        </w:rPr>
        <w:t xml:space="preserve"> Цыгляну, П. П. Развитие инструментария управления инжиниринговыми проектами в нефтегазовой компании / П. П. Цыгляну // disserCat. - 2023. - URL: https://www.dissercat.com/content/razvitie-instrumentariya-upravleniya-inzhiniringovymi-proektami-v-neftegazovoi-kompanii (дата обращения: 24.06.2026).</w:t>
      </w:r>
    </w:p>
  </w:footnote>
  <w:footnote w:id="80">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81">
    <w:p>
      <w:pPr>
        <w:spacing w:line="240" w:lineRule="auto"/>
        <w:jc w:val="both"/>
      </w:pPr>
      <w:r>
        <w:rPr>
          <w:rStyle w:val="FootnoteReference"/>
        </w:rPr>
        <w:footnoteRef/>
      </w:r>
      <w:r>
        <w:rPr>
          <w:rFonts w:ascii="Times New Roman" w:cs="Times New Roman" w:eastAsia="Times New Roman" w:hAnsi="Times New Roman"/>
          <w:sz w:val="20"/>
          <w:szCs w:val="20"/>
        </w:rPr>
        <w:t xml:space="preserve"> постановление Правительства РФ от 12.11.2021 № 1933 (ред. действующая). - URL: https://base.garant.ru/403071720/ (дата обращения: 30.06.2026).</w:t>
      </w:r>
    </w:p>
  </w:footnote>
  <w:footnote w:id="82">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от 29.06.2015 № 162-ФЗ (ред. действующая). - URL: http://www.kremlin.ru/acts/bank/39815 (дата обращения: 24.06.2026).</w:t>
      </w:r>
    </w:p>
  </w:footnote>
  <w:footnote w:id="83">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30.08.2019 № 1931-р (ред. действующая). - URL: https://www.garant.ru/products/ipo/prime/doc/72590266/ (дата обращения: 05.07.2026).</w:t>
      </w:r>
    </w:p>
  </w:footnote>
  <w:footnote w:id="84">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06.06.2020 № 1512-р (ред. действующая). - URL: https://internet-law.ru/documents/dop_documents/11/gost_48532/0/raspo.html (дата обращения: 19.06.2026).</w:t>
      </w:r>
    </w:p>
  </w:footnote>
  <w:footnote w:id="85">
    <w:p>
      <w:pPr>
        <w:spacing w:line="240" w:lineRule="auto"/>
        <w:jc w:val="both"/>
      </w:pPr>
      <w:r>
        <w:rPr>
          <w:rStyle w:val="FootnoteReference"/>
        </w:rPr>
        <w:footnoteRef/>
      </w:r>
      <w:r>
        <w:rPr>
          <w:rFonts w:ascii="Times New Roman" w:cs="Times New Roman" w:eastAsia="Times New Roman" w:hAnsi="Times New Roman"/>
          <w:sz w:val="20"/>
          <w:szCs w:val="20"/>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footnote>
  <w:footnote w:id="86">
    <w:p>
      <w:pPr>
        <w:spacing w:line="240" w:lineRule="auto"/>
        <w:jc w:val="both"/>
      </w:pPr>
      <w:r>
        <w:rPr>
          <w:rStyle w:val="FootnoteReference"/>
        </w:rPr>
        <w:footnoteRef/>
      </w:r>
      <w:r>
        <w:rPr>
          <w:rFonts w:ascii="Times New Roman" w:cs="Times New Roman" w:eastAsia="Times New Roman" w:hAnsi="Times New Roman"/>
          <w:sz w:val="20"/>
          <w:szCs w:val="20"/>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E-Management. - 2026. - Т. 8, № 4. - DOI 10.26425/2658-3445-2025-8-4-4-21. - URL: https://e-management.guu.ru/jour/article/view/616 (дата обращения: 08.07.2026).</w:t>
      </w:r>
    </w:p>
  </w:footnote>
  <w:footnote w:id="87">
    <w:p>
      <w:pPr>
        <w:spacing w:line="240" w:lineRule="auto"/>
        <w:jc w:val="both"/>
      </w:pPr>
      <w:r>
        <w:rPr>
          <w:rStyle w:val="FootnoteReference"/>
        </w:rPr>
        <w:footnoteRef/>
      </w:r>
      <w:r>
        <w:rPr>
          <w:rFonts w:ascii="Times New Roman" w:cs="Times New Roman" w:eastAsia="Times New Roman" w:hAnsi="Times New Roman"/>
          <w:sz w:val="20"/>
          <w:szCs w:val="20"/>
        </w:rPr>
        <w:t xml:space="preserve"> Шарова, И. В. Управление транспортными рисками / И. В. Шарова, С. П. Галкина // Экономика, предпринимательство и право. - 2025. - Т. 15, № 2. - С. 2–17. - URL: https://cyberleninka.ru/article/n/upravlenie-transportnymi-riskami (дата обращения: 05.07.2026).</w:t>
      </w:r>
    </w:p>
  </w:footnote>
  <w:footnote w:id="88">
    <w:p>
      <w:pPr>
        <w:spacing w:line="240" w:lineRule="auto"/>
        <w:jc w:val="both"/>
      </w:pPr>
      <w:r>
        <w:rPr>
          <w:rStyle w:val="FootnoteReference"/>
        </w:rPr>
        <w:footnoteRef/>
      </w:r>
      <w:r>
        <w:rPr>
          <w:rFonts w:ascii="Times New Roman" w:cs="Times New Roman" w:eastAsia="Times New Roman" w:hAnsi="Times New Roman"/>
          <w:sz w:val="20"/>
          <w:szCs w:val="20"/>
        </w:rPr>
        <w:t xml:space="preserve">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URL: https://cyberleninka.ru/article/n/sovremennye-tehnologii-modelirovaniya-biznes-protsessov-v-proektno-izyskatelskoy-deyatelnosti-analiz-i-tendentsii (дата обращения: 03.07.2026).</w:t>
      </w:r>
    </w:p>
  </w:footnote>
  <w:footnote w:id="89">
    <w:p>
      <w:pPr>
        <w:spacing w:line="240" w:lineRule="auto"/>
        <w:jc w:val="both"/>
      </w:pPr>
      <w:r>
        <w:rPr>
          <w:rStyle w:val="FootnoteReference"/>
        </w:rPr>
        <w:footnoteRef/>
      </w:r>
      <w:r>
        <w:rPr>
          <w:rFonts w:ascii="Times New Roman" w:cs="Times New Roman" w:eastAsia="Times New Roman" w:hAnsi="Times New Roman"/>
          <w:sz w:val="20"/>
          <w:szCs w:val="20"/>
        </w:rPr>
        <w:t xml:space="preserve">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URL: https://sciup.org/metodologija-ocenki-jeffektivnosti-vnedrenija-intellektualnyh-tehnologij-v-148328241 (дата обращения: 18.06.2026).</w:t>
      </w:r>
    </w:p>
  </w:footnote>
  <w:footnote w:id="90">
    <w:p>
      <w:pPr>
        <w:spacing w:line="240" w:lineRule="auto"/>
        <w:jc w:val="both"/>
      </w:pPr>
      <w:r>
        <w:rPr>
          <w:rStyle w:val="FootnoteReference"/>
        </w:rPr>
        <w:footnoteRef/>
      </w:r>
      <w:r>
        <w:rPr>
          <w:rFonts w:ascii="Times New Roman" w:cs="Times New Roman" w:eastAsia="Times New Roman" w:hAnsi="Times New Roman"/>
          <w:sz w:val="20"/>
          <w:szCs w:val="20"/>
        </w:rPr>
        <w:t xml:space="preserve"> Хорошевич, А. А. Концептуальные положения управления структурными и технологическими изменениями на железнодорожном транспорте в Союзном государстве / А. А. Хорошевич, А. Г. Шумилин // Экономика науки. - 2025. - Т. 11, № 4. - URL: https://ecna.elpub.ru/jour/article/view/600 (дата обращения: 10.07.2026).</w:t>
      </w:r>
    </w:p>
  </w:footnote>
  <w:footnote w:id="91">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92">
    <w:p>
      <w:pPr>
        <w:spacing w:line="240" w:lineRule="auto"/>
        <w:jc w:val="both"/>
      </w:pPr>
      <w:r>
        <w:rPr>
          <w:rStyle w:val="FootnoteReference"/>
        </w:rPr>
        <w:footnoteRef/>
      </w:r>
      <w:r>
        <w:rPr>
          <w:rFonts w:ascii="Times New Roman" w:cs="Times New Roman" w:eastAsia="Times New Roman" w:hAnsi="Times New Roman"/>
          <w:sz w:val="20"/>
          <w:szCs w:val="20"/>
        </w:rPr>
        <w:t xml:space="preserve"> Демидов, А. В. Возможность применения технологии реверс-инжиниринга для быстрого прототипирования в машиностроении / А. В. Демидов // Молодой ученый. - 2024. - Т. 506, № 7. - С. 20–21. - URL: https://moluch.ru/archive/506/111338 (дата обращения: 26.06.2026).</w:t>
      </w:r>
    </w:p>
  </w:footnote>
  <w:footnote w:id="93">
    <w:p>
      <w:pPr>
        <w:spacing w:line="240" w:lineRule="auto"/>
        <w:jc w:val="both"/>
      </w:pPr>
      <w:r>
        <w:rPr>
          <w:rStyle w:val="FootnoteReference"/>
        </w:rPr>
        <w:footnoteRef/>
      </w:r>
      <w:r>
        <w:rPr>
          <w:rFonts w:ascii="Times New Roman" w:cs="Times New Roman" w:eastAsia="Times New Roman" w:hAnsi="Times New Roman"/>
          <w:sz w:val="20"/>
          <w:szCs w:val="20"/>
        </w:rPr>
        <w:t xml:space="preserve"> Юдин, Д. С. Региональная экономическая политика использования государственно-частного партнерства для повышения конкурентоспособности региона / Д. С. Юдин // disserCat. - 2025. - URL: https://www.dissercat.com/content/regionalnaya-ekonomicheskaya-politika-ispolzovaniya-gosudarstvenno-chastnogo-partnerstva-dly (дата обращения: 19.06.2026).</w:t>
      </w:r>
    </w:p>
  </w:footnote>
  <w:footnote w:id="94">
    <w:p>
      <w:pPr>
        <w:spacing w:line="240" w:lineRule="auto"/>
        <w:jc w:val="both"/>
      </w:pPr>
      <w:r>
        <w:rPr>
          <w:rStyle w:val="FootnoteReference"/>
        </w:rPr>
        <w:footnoteRef/>
      </w:r>
      <w:r>
        <w:rPr>
          <w:rFonts w:ascii="Times New Roman" w:cs="Times New Roman" w:eastAsia="Times New Roman" w:hAnsi="Times New Roman"/>
          <w:sz w:val="20"/>
          <w:szCs w:val="20"/>
        </w:rPr>
        <w:t xml:space="preserve"> Курбатов, А. А. Методические аспекты оценки эффективности внедрения инструментов bpm в торговых предприятиях: разработка комплексной системы kpi / А. А. Курбатов // Прогрессивная экономика. - 2025. - № 10. - С. 10–29. - URL: https://cyberleninka.ru/article/n/metodicheskie-aspekty-otsenki-effektivnosti-vnedreniya-instrumentov-bpm-v-torgovyh-predpriyatiyah-razrabotka-kompleksnoy-sistemy (дата обращения: 22.06.2026).</w:t>
      </w:r>
    </w:p>
  </w:footnote>
  <w:footnote w:id="95">
    <w:p>
      <w:pPr>
        <w:spacing w:line="240" w:lineRule="auto"/>
        <w:jc w:val="both"/>
      </w:pPr>
      <w:r>
        <w:rPr>
          <w:rStyle w:val="FootnoteReference"/>
        </w:rPr>
        <w:footnoteRef/>
      </w:r>
      <w:r>
        <w:rPr>
          <w:rFonts w:ascii="Times New Roman" w:cs="Times New Roman" w:eastAsia="Times New Roman" w:hAnsi="Times New Roman"/>
          <w:sz w:val="20"/>
          <w:szCs w:val="20"/>
        </w:rPr>
        <w:t xml:space="preserve"> Николаева, К. Обоснование экономической эффективности разработки и внедрения информационной системы на транспортном предприятии / К. Николаева. - 2026. - URL: https://studgen.ru/knowledge-base/219420 (дата обращения: 11.07.2026).</w:t>
      </w:r>
    </w:p>
  </w:footnote>
  <w:footnote w:id="96">
    <w:p>
      <w:pPr>
        <w:spacing w:line="240" w:lineRule="auto"/>
        <w:jc w:val="both"/>
      </w:pPr>
      <w:r>
        <w:rPr>
          <w:rStyle w:val="FootnoteReference"/>
        </w:rPr>
        <w:footnoteRef/>
      </w:r>
      <w:r>
        <w:rPr>
          <w:rFonts w:ascii="Times New Roman" w:cs="Times New Roman" w:eastAsia="Times New Roman" w:hAnsi="Times New Roman"/>
          <w:sz w:val="20"/>
          <w:szCs w:val="20"/>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disserCat. - 2024. - URL: https://www.dissercat.com/content/sovershenstvovanie-upravleniya-protsessami-perevozki-passazhirov-v-gorodskikh-aglomeratsiyak (дата обращения: 29.06.2026).</w:t>
      </w:r>
    </w:p>
  </w:footnote>
  <w:footnote w:id="97">
    <w:p>
      <w:pPr>
        <w:spacing w:line="240" w:lineRule="auto"/>
        <w:jc w:val="both"/>
      </w:pPr>
      <w:r>
        <w:rPr>
          <w:rStyle w:val="FootnoteReference"/>
        </w:rPr>
        <w:footnoteRef/>
      </w:r>
      <w:r>
        <w:rPr>
          <w:rFonts w:ascii="Times New Roman" w:cs="Times New Roman" w:eastAsia="Times New Roman" w:hAnsi="Times New Roman"/>
          <w:sz w:val="20"/>
          <w:szCs w:val="20"/>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disserCat. - 2025. - URL: https://www.dissercat.com/content/formirovanie-mekhanizmov-ustoichivogo-razvitiya-transportnykh-organizatsii-na-osnove-soglaso (дата обращения: 01.07.2026).</w:t>
      </w:r>
    </w:p>
  </w:footnote>
  <w:footnote w:id="98">
    <w:p>
      <w:pPr>
        <w:spacing w:line="240" w:lineRule="auto"/>
        <w:jc w:val="both"/>
      </w:pPr>
      <w:r>
        <w:rPr>
          <w:rStyle w:val="FootnoteReference"/>
        </w:rPr>
        <w:footnoteRef/>
      </w:r>
      <w:r>
        <w:rPr>
          <w:rFonts w:ascii="Times New Roman" w:cs="Times New Roman" w:eastAsia="Times New Roman" w:hAnsi="Times New Roman"/>
          <w:sz w:val="20"/>
          <w:szCs w:val="20"/>
        </w:rPr>
        <w:t xml:space="preserve"> Санникова, К. А. Развитие системы управления ESG-рисками при обеспечении экономической безопасности горнодобывающих предприятий / К. А. Санникова // disserCat. - 2024. - URL: https://www.dissercat.com/content/razvitie-sistemy-upravleniya-esg-riskami-pri-obespechenii-ekonomicheskoi-bezopasnosti-gornod (дата обращения: 04.07.2026).</w:t>
      </w:r>
    </w:p>
  </w:footnote>
  <w:footnote w:id="99">
    <w:p>
      <w:pPr>
        <w:spacing w:line="240" w:lineRule="auto"/>
        <w:jc w:val="both"/>
      </w:pPr>
      <w:r>
        <w:rPr>
          <w:rStyle w:val="FootnoteReference"/>
        </w:rPr>
        <w:footnoteRef/>
      </w:r>
      <w:r>
        <w:rPr>
          <w:rFonts w:ascii="Times New Roman" w:cs="Times New Roman" w:eastAsia="Times New Roman" w:hAnsi="Times New Roman"/>
          <w:sz w:val="20"/>
          <w:szCs w:val="20"/>
        </w:rPr>
        <w:t xml:space="preserve"> Маскаева, Е. Ю. Экономическое обоснование проектов развития железнодорожных пассажирских перевозок в агломерации / Е. Ю. Маскаева // disserCat. - 2025. - URL: https://www.dissercat.com/content/ekonomicheskoe-obosnovanie-proektov-razvitiya-zheleznodorozhnykh-passazhirskikh-perevozok (дата обращения: 14.07.2026).</w:t>
      </w:r>
    </w:p>
  </w:footnote>
  <w:footnote w:id="100">
    <w:p>
      <w:pPr>
        <w:spacing w:line="240" w:lineRule="auto"/>
        <w:jc w:val="both"/>
      </w:pPr>
      <w:r>
        <w:rPr>
          <w:rStyle w:val="FootnoteReference"/>
        </w:rPr>
        <w:footnoteRef/>
      </w:r>
      <w:r>
        <w:rPr>
          <w:rFonts w:ascii="Times New Roman" w:cs="Times New Roman" w:eastAsia="Times New Roman" w:hAnsi="Times New Roman"/>
          <w:sz w:val="20"/>
          <w:szCs w:val="20"/>
        </w:rPr>
        <w:t xml:space="preserve"> федеральный закон от 29.06.2015 № 162-ФЗ (ред. действующая). - URL: http://www.kremlin.ru/acts/bank/39815 (дата обращения: 24.06.2026).</w:t>
      </w:r>
    </w:p>
  </w:footnote>
  <w:footnote w:id="101">
    <w:p>
      <w:pPr>
        <w:spacing w:line="240" w:lineRule="auto"/>
        <w:jc w:val="both"/>
      </w:pPr>
      <w:r>
        <w:rPr>
          <w:rStyle w:val="FootnoteReference"/>
        </w:rPr>
        <w:footnoteRef/>
      </w:r>
      <w:r>
        <w:rPr>
          <w:rFonts w:ascii="Times New Roman" w:cs="Times New Roman" w:eastAsia="Times New Roman" w:hAnsi="Times New Roman"/>
          <w:sz w:val="20"/>
          <w:szCs w:val="20"/>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E-Management. - 2026. - Т. 8, № 4. - DOI 10.26425/2658-3445-2025-8-4-4-21. - URL: https://e-management.guu.ru/jour/article/view/616 (дата обращения: 08.07.2026).</w:t>
      </w:r>
    </w:p>
  </w:footnote>
  <w:footnote w:id="102">
    <w:p>
      <w:pPr>
        <w:spacing w:line="240" w:lineRule="auto"/>
        <w:jc w:val="both"/>
      </w:pPr>
      <w:r>
        <w:rPr>
          <w:rStyle w:val="FootnoteReference"/>
        </w:rPr>
        <w:footnoteRef/>
      </w:r>
      <w:r>
        <w:rPr>
          <w:rFonts w:ascii="Times New Roman" w:cs="Times New Roman" w:eastAsia="Times New Roman" w:hAnsi="Times New Roman"/>
          <w:sz w:val="20"/>
          <w:szCs w:val="20"/>
        </w:rPr>
        <w:t xml:space="preserve"> Абуев, Н. М. Управление развитием международного транспортного коридора на основе организационно-экономического механизма / Н. М. Абуев // Экономика, предпринимательство и право. - 2026. - Т. 16, № 2. - С. 1127–1146. - URL: https://1economic.ru/lib/124499 (дата обращения: 11.07.2026).</w:t>
      </w:r>
    </w:p>
  </w:footnote>
  <w:footnote w:id="103">
    <w:p>
      <w:pPr>
        <w:spacing w:line="240" w:lineRule="auto"/>
        <w:jc w:val="both"/>
      </w:pPr>
      <w:r>
        <w:rPr>
          <w:rStyle w:val="FootnoteReference"/>
        </w:rPr>
        <w:footnoteRef/>
      </w:r>
      <w:r>
        <w:rPr>
          <w:rFonts w:ascii="Times New Roman" w:cs="Times New Roman" w:eastAsia="Times New Roman" w:hAnsi="Times New Roman"/>
          <w:sz w:val="20"/>
          <w:szCs w:val="20"/>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А. В. Джангирян // disserCat. - 2025. - URL: https://kz.dissercat.com/content/mekhanizm-otsenki-effektivnosti-infrastrukturnykh-proektov-sozdaniya-mezhdunarodnogo-transpo (дата обращения: 07.07.2026).</w:t>
      </w:r>
    </w:p>
  </w:footnote>
  <w:footnote w:id="104">
    <w:p>
      <w:pPr>
        <w:spacing w:line="240" w:lineRule="auto"/>
        <w:jc w:val="both"/>
      </w:pPr>
      <w:r>
        <w:rPr>
          <w:rStyle w:val="FootnoteReference"/>
        </w:rPr>
        <w:footnoteRef/>
      </w:r>
      <w:r>
        <w:rPr>
          <w:rFonts w:ascii="Times New Roman" w:cs="Times New Roman" w:eastAsia="Times New Roman" w:hAnsi="Times New Roman"/>
          <w:sz w:val="20"/>
          <w:szCs w:val="20"/>
        </w:rPr>
        <w:t xml:space="preserve"> Николаева, К. Обоснование экономической эффективности разработки и внедрения информационной системы на транспортном предприятии / К. Николаева. - 2026. - URL: https://studgen.ru/knowledge-base/219420 (дата обращения: 11.07.2026).</w:t>
      </w:r>
    </w:p>
  </w:footnote>
  <w:footnote w:id="105">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06.06.2020 № 1512-р (ред. действующая). - URL: https://internet-law.ru/documents/dop_documents/11/gost_48532/0/raspo.html (дата обращения: 19.06.2026).</w:t>
      </w:r>
    </w:p>
  </w:footnote>
  <w:footnote w:id="106">
    <w:p>
      <w:pPr>
        <w:spacing w:line="240" w:lineRule="auto"/>
        <w:jc w:val="both"/>
      </w:pPr>
      <w:r>
        <w:rPr>
          <w:rStyle w:val="FootnoteReference"/>
        </w:rPr>
        <w:footnoteRef/>
      </w:r>
      <w:r>
        <w:rPr>
          <w:rFonts w:ascii="Times New Roman" w:cs="Times New Roman" w:eastAsia="Times New Roman" w:hAnsi="Times New Roman"/>
          <w:sz w:val="20"/>
          <w:szCs w:val="20"/>
        </w:rPr>
        <w:t xml:space="preserve"> распоряжение Правительства РФ от 30.08.2019 № 1931-р (ред. действующая). - URL: https://www.garant.ru/products/ipo/prime/doc/72590266/ (дата обращения: 05.07.2026).</w:t>
      </w:r>
    </w:p>
  </w:footnote>
  <w:footnote w:id="107">
    <w:p>
      <w:pPr>
        <w:spacing w:line="240" w:lineRule="auto"/>
        <w:jc w:val="both"/>
      </w:pPr>
      <w:r>
        <w:rPr>
          <w:rStyle w:val="FootnoteReference"/>
        </w:rPr>
        <w:footnoteRef/>
      </w:r>
      <w:r>
        <w:rPr>
          <w:rFonts w:ascii="Times New Roman" w:cs="Times New Roman" w:eastAsia="Times New Roman" w:hAnsi="Times New Roman"/>
          <w:sz w:val="20"/>
          <w:szCs w:val="20"/>
        </w:rPr>
        <w:t xml:space="preserve"> Семкин, А. Н. Совершенствование управления процессами перевозки пассажиров в городских агломерациях на основе интеллектуальных транспортных систем / А. Н. Семкин // disserCat. - 2024. - URL: https://www.dissercat.com/content/sovershenstvovanie-upravleniya-protsessami-perevozki-passazhirov-v-gorodskikh-aglomeratsiyak (дата обращения: 29.06.2026).</w:t>
      </w:r>
    </w:p>
  </w:footnote>
  <w:footnote w:id="108">
    <w:p>
      <w:pPr>
        <w:spacing w:line="240" w:lineRule="auto"/>
        <w:jc w:val="both"/>
      </w:pPr>
      <w:r>
        <w:rPr>
          <w:rStyle w:val="FootnoteReference"/>
        </w:rPr>
        <w:footnoteRef/>
      </w:r>
      <w:r>
        <w:rPr>
          <w:rFonts w:ascii="Times New Roman" w:cs="Times New Roman" w:eastAsia="Times New Roman" w:hAnsi="Times New Roman"/>
          <w:sz w:val="20"/>
          <w:szCs w:val="20"/>
        </w:rPr>
        <w:t xml:space="preserve"> Васильчев, В. В. Формирование механизмов устойчивого развития транспортных организаций на основе согласования экономических интересов в контрактных отношениях / В. В. Васильчев // disserCat. - 2025. - URL: https://www.dissercat.com/content/formirovanie-mekhanizmov-ustoichivogo-razvitiya-transportnykh-organizatsii-na-osnove-soglaso (дата обращения: 01.07.2026).</w:t>
      </w:r>
    </w:p>
  </w:footnote>
  <w:footnote w:id="109">
    <w:p>
      <w:pPr>
        <w:spacing w:line="240" w:lineRule="auto"/>
        <w:jc w:val="both"/>
      </w:pPr>
      <w:r>
        <w:rPr>
          <w:rStyle w:val="FootnoteReference"/>
        </w:rPr>
        <w:footnoteRef/>
      </w:r>
      <w:r>
        <w:rPr>
          <w:rFonts w:ascii="Times New Roman" w:cs="Times New Roman" w:eastAsia="Times New Roman" w:hAnsi="Times New Roman"/>
          <w:sz w:val="20"/>
          <w:szCs w:val="20"/>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В. Ю. Анисимова // disserCat. - 2025. - URL: https://www.dissercat.com/content/metodologicheskie-osnovy-formirovaniya-protsessov-importooperezheniya-innovatsii-i-tekhnolog (дата обращения: 25.06.2026).</w:t>
      </w:r>
    </w:p>
  </w:footnote>
  <w:footnote w:id="110">
    <w:p>
      <w:pPr>
        <w:spacing w:line="240" w:lineRule="auto"/>
        <w:jc w:val="both"/>
      </w:pPr>
      <w:r>
        <w:rPr>
          <w:rStyle w:val="FootnoteReference"/>
        </w:rPr>
        <w:footnoteRef/>
      </w:r>
      <w:r>
        <w:rPr>
          <w:rFonts w:ascii="Times New Roman" w:cs="Times New Roman" w:eastAsia="Times New Roman" w:hAnsi="Times New Roman"/>
          <w:sz w:val="20"/>
          <w:szCs w:val="20"/>
        </w:rPr>
        <w:t xml:space="preserve">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Мантуленко // Экономика, предпринимательство и право. - 2024. - Т. 14, № 12. - С. 12–27. - URL: https://cyberleninka.ru/article/n/sovremennye-tehnologii-modelirovaniya-biznes-protsessov-v-proektno-izyskatelskoy-deyatelnosti-analiz-i-tendentsii (дата обращения: 03.07.2026).</w:t>
      </w:r>
    </w:p>
  </w:footnote>
  <w:footnote w:id="111">
    <w:p>
      <w:pPr>
        <w:spacing w:line="240" w:lineRule="auto"/>
        <w:jc w:val="both"/>
      </w:pPr>
      <w:r>
        <w:rPr>
          <w:rStyle w:val="FootnoteReference"/>
        </w:rPr>
        <w:footnoteRef/>
      </w:r>
      <w:r>
        <w:rPr>
          <w:rFonts w:ascii="Times New Roman" w:cs="Times New Roman" w:eastAsia="Times New Roman" w:hAnsi="Times New Roman"/>
          <w:sz w:val="20"/>
          <w:szCs w:val="20"/>
        </w:rPr>
        <w:t xml:space="preserve"> Сафиуллин, Р. Р. Методология оценки эффективности внедрения интеллектуальных технологий в организационное управление перевозочного процесса доставки грузов / Р. Р. Сафиуллин, М. Р. Баширов, А. Д. Орешкина // Технико-технологические проблемы сервиса. - 2024. - № 1. - С. 32–37. - URL: https://sciup.org/metodologija-ocenki-jeffektivnosti-vnedrenija-intellektualnyh-tehnologij-v-148328241 (дата обращения: 18.06.2026).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imes New Roman" w:cs="Times New Roman" w:eastAsia="Times New Roman" w:hAnsi="Times New Roman"/>
      <w:b/>
      <w:bCs/>
      <w:color w:val="000000"/>
      <w:sz w:val="28"/>
      <w:szCs w:val="28"/>
    </w:rPr>
  </w:style>
  <w:style w:type="paragraph" w:styleId="Heading2">
    <w:name w:val="Heading 2"/>
    <w:basedOn w:val="Normal"/>
    <w:next w:val="Normal"/>
    <w:qFormat/>
    <w:rPr>
      <w:rFonts w:ascii="Times New Roman" w:cs="Times New Roman" w:eastAsia="Times New Roman" w:hAnsi="Times New Roman"/>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2026-09-19T14:04:13.660Z</dcterms:created>
  <dcterms:modified xsi:type="dcterms:W3CDTF">2026-09-19T14:04:13.660Z</dcterms:modified>
</cp:coreProperties>
</file>

<file path=docProps/custom.xml><?xml version="1.0" encoding="utf-8"?>
<Properties xmlns="http://schemas.openxmlformats.org/officeDocument/2006/custom-properties" xmlns:vt="http://schemas.openxmlformats.org/officeDocument/2006/docPropsVTypes"/>
</file>